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C99"/>
  <w:body>
    <w:p w14:paraId="6BDEE5C3" w14:textId="5DB773F9" w:rsidR="00CC3FE1" w:rsidRPr="00392D51" w:rsidRDefault="00CE352F" w:rsidP="0084549D">
      <w:pPr>
        <w:pStyle w:val="berschrift1"/>
        <w:rPr>
          <w:lang w:val="en-US"/>
        </w:rPr>
      </w:pPr>
      <w:r w:rsidRPr="00392D51">
        <w:rPr>
          <w:lang w:val="en-US"/>
        </w:rPr>
        <w:t>Therese Garstenauer</w:t>
      </w:r>
    </w:p>
    <w:p w14:paraId="74DD354A" w14:textId="77777777" w:rsidR="00EC47B5" w:rsidRPr="00392D51" w:rsidRDefault="00EC47B5" w:rsidP="00EC47B5">
      <w:pPr>
        <w:rPr>
          <w:lang w:val="en-US"/>
        </w:rPr>
      </w:pPr>
    </w:p>
    <w:p w14:paraId="0BB919F0" w14:textId="44574B99" w:rsidR="004803BD" w:rsidRPr="00392D51" w:rsidRDefault="00401501" w:rsidP="004803BD">
      <w:pPr>
        <w:pStyle w:val="berschrift2"/>
        <w:rPr>
          <w:lang w:val="en-US"/>
        </w:rPr>
      </w:pPr>
      <w:r w:rsidRPr="00392D51">
        <w:rPr>
          <w:lang w:val="en-US"/>
        </w:rPr>
        <w:t>Re</w:t>
      </w:r>
      <w:r w:rsidR="004803BD" w:rsidRPr="00392D51">
        <w:rPr>
          <w:lang w:val="en-US"/>
        </w:rPr>
        <w:t xml:space="preserve">sumé : </w:t>
      </w:r>
    </w:p>
    <w:p w14:paraId="310636E4" w14:textId="77777777" w:rsidR="007E205C" w:rsidRPr="00392D51" w:rsidRDefault="007E205C" w:rsidP="0084549D">
      <w:pPr>
        <w:rPr>
          <w:lang w:val="en-US"/>
        </w:rPr>
      </w:pPr>
    </w:p>
    <w:p w14:paraId="56749D32" w14:textId="7BCE7C26" w:rsidR="007E205C" w:rsidRPr="00392D51" w:rsidRDefault="00D35E0A" w:rsidP="0084549D">
      <w:pPr>
        <w:rPr>
          <w:lang w:val="en-US"/>
        </w:rPr>
      </w:pPr>
      <w:r w:rsidRPr="00392D51">
        <w:rPr>
          <w:lang w:val="en-US"/>
        </w:rPr>
        <w:t xml:space="preserve">The </w:t>
      </w:r>
      <w:r w:rsidR="007E205C" w:rsidRPr="00392D51">
        <w:rPr>
          <w:lang w:val="en-US"/>
        </w:rPr>
        <w:t>oat</w:t>
      </w:r>
      <w:r w:rsidR="003F58A8" w:rsidRPr="00392D51">
        <w:rPr>
          <w:lang w:val="en-US"/>
        </w:rPr>
        <w:t>h of office taken by</w:t>
      </w:r>
      <w:r w:rsidR="0015713E" w:rsidRPr="00392D51">
        <w:rPr>
          <w:lang w:val="en-US"/>
        </w:rPr>
        <w:t xml:space="preserve"> public employees</w:t>
      </w:r>
      <w:r w:rsidR="007E205C" w:rsidRPr="00392D51">
        <w:rPr>
          <w:lang w:val="en-US"/>
        </w:rPr>
        <w:t xml:space="preserve"> </w:t>
      </w:r>
      <w:r w:rsidR="00FC053C" w:rsidRPr="00392D51">
        <w:rPr>
          <w:lang w:val="en-US"/>
        </w:rPr>
        <w:t>before undertaking their duties</w:t>
      </w:r>
      <w:r w:rsidR="007E205C" w:rsidRPr="00392D51">
        <w:rPr>
          <w:lang w:val="en-US"/>
        </w:rPr>
        <w:t xml:space="preserve"> is a particular case of the phenomen </w:t>
      </w:r>
      <w:r w:rsidR="00E83418" w:rsidRPr="00392D51">
        <w:rPr>
          <w:lang w:val="en-US"/>
        </w:rPr>
        <w:t xml:space="preserve">of </w:t>
      </w:r>
      <w:r w:rsidRPr="00392D51">
        <w:rPr>
          <w:lang w:val="en-US"/>
        </w:rPr>
        <w:t xml:space="preserve">oath taking. This paper </w:t>
      </w:r>
      <w:r w:rsidR="00FC053C" w:rsidRPr="00392D51">
        <w:rPr>
          <w:lang w:val="en-US"/>
        </w:rPr>
        <w:t>will show</w:t>
      </w:r>
      <w:r w:rsidR="003F58A8" w:rsidRPr="00392D51">
        <w:rPr>
          <w:lang w:val="en-US"/>
        </w:rPr>
        <w:t xml:space="preserve"> </w:t>
      </w:r>
      <w:r w:rsidR="007E205C" w:rsidRPr="00392D51">
        <w:rPr>
          <w:lang w:val="en-US"/>
        </w:rPr>
        <w:t xml:space="preserve">in how far </w:t>
      </w:r>
      <w:r w:rsidR="00FC053C" w:rsidRPr="00392D51">
        <w:rPr>
          <w:lang w:val="en-US"/>
        </w:rPr>
        <w:t>this</w:t>
      </w:r>
      <w:r w:rsidR="0015713E" w:rsidRPr="00392D51">
        <w:rPr>
          <w:lang w:val="en-US"/>
        </w:rPr>
        <w:t xml:space="preserve"> oath of office changed in form and meaning after</w:t>
      </w:r>
      <w:r w:rsidR="007E205C" w:rsidRPr="00392D51">
        <w:rPr>
          <w:lang w:val="en-US"/>
        </w:rPr>
        <w:t xml:space="preserve"> the Habsburg monarchy had collapsed. </w:t>
      </w:r>
      <w:r w:rsidR="003F58A8" w:rsidRPr="00392D51">
        <w:rPr>
          <w:lang w:val="en-US"/>
        </w:rPr>
        <w:t>Furthermore,</w:t>
      </w:r>
      <w:r w:rsidRPr="00392D51">
        <w:rPr>
          <w:lang w:val="en-US"/>
        </w:rPr>
        <w:t xml:space="preserve"> it</w:t>
      </w:r>
      <w:r w:rsidR="00FC053C" w:rsidRPr="00392D51">
        <w:rPr>
          <w:lang w:val="en-US"/>
        </w:rPr>
        <w:t xml:space="preserve"> will address</w:t>
      </w:r>
      <w:r w:rsidR="007E205C" w:rsidRPr="00392D51">
        <w:rPr>
          <w:lang w:val="en-US"/>
        </w:rPr>
        <w:t xml:space="preserve"> the role of oaths and </w:t>
      </w:r>
      <w:r w:rsidR="0015713E" w:rsidRPr="00392D51">
        <w:rPr>
          <w:lang w:val="en-US"/>
        </w:rPr>
        <w:t>pledges declaring allegiance to the state of German-Austria for public employees in areas which were claimed by German-Austria as well as by the successor states of the Habsburg empire.</w:t>
      </w:r>
      <w:r w:rsidR="003F58A8" w:rsidRPr="00392D51">
        <w:rPr>
          <w:lang w:val="en-US"/>
        </w:rPr>
        <w:t xml:space="preserve"> </w:t>
      </w:r>
      <w:r w:rsidRPr="00392D51">
        <w:rPr>
          <w:lang w:val="en-US"/>
        </w:rPr>
        <w:t>T</w:t>
      </w:r>
      <w:r w:rsidR="003F58A8" w:rsidRPr="00392D51">
        <w:rPr>
          <w:lang w:val="en-US"/>
        </w:rPr>
        <w:t xml:space="preserve">he ambivalent position of the </w:t>
      </w:r>
      <w:r w:rsidR="00FC053C" w:rsidRPr="00392D51">
        <w:rPr>
          <w:lang w:val="en-US"/>
        </w:rPr>
        <w:t xml:space="preserve">German-Austrian </w:t>
      </w:r>
      <w:r w:rsidR="003F58A8" w:rsidRPr="00392D51">
        <w:rPr>
          <w:lang w:val="en-US"/>
        </w:rPr>
        <w:t>state towards its employees in disputed areas</w:t>
      </w:r>
      <w:r w:rsidR="00FC053C" w:rsidRPr="00392D51">
        <w:rPr>
          <w:lang w:val="en-US"/>
        </w:rPr>
        <w:t xml:space="preserve"> and the attitudes of these employees will be discussed</w:t>
      </w:r>
      <w:r w:rsidRPr="00392D51">
        <w:rPr>
          <w:lang w:val="en-US"/>
        </w:rPr>
        <w:t xml:space="preserve"> wi</w:t>
      </w:r>
      <w:r w:rsidR="00443983" w:rsidRPr="00392D51">
        <w:rPr>
          <w:lang w:val="en-US"/>
        </w:rPr>
        <w:t>th special focus on the ways of dealing with</w:t>
      </w:r>
      <w:r w:rsidRPr="00392D51">
        <w:rPr>
          <w:lang w:val="en-US"/>
        </w:rPr>
        <w:t xml:space="preserve"> oaths and vows</w:t>
      </w:r>
      <w:r w:rsidR="00FC053C" w:rsidRPr="00392D51">
        <w:rPr>
          <w:lang w:val="en-US"/>
        </w:rPr>
        <w:t>.</w:t>
      </w:r>
    </w:p>
    <w:p w14:paraId="0478BE9E" w14:textId="0FB2325C" w:rsidR="0015713E" w:rsidRPr="00392D51" w:rsidRDefault="003F58A8" w:rsidP="0084549D">
      <w:pPr>
        <w:rPr>
          <w:lang w:val="en-US"/>
        </w:rPr>
      </w:pPr>
      <w:r w:rsidRPr="00392D51">
        <w:rPr>
          <w:lang w:val="en-US"/>
        </w:rPr>
        <w:t xml:space="preserve"> </w:t>
      </w:r>
    </w:p>
    <w:p w14:paraId="225414CE" w14:textId="7FA75E1C" w:rsidR="00C66DB6" w:rsidRPr="00392D51" w:rsidRDefault="00D35E0A" w:rsidP="0084549D">
      <w:pPr>
        <w:rPr>
          <w:lang w:val="en-US"/>
        </w:rPr>
      </w:pPr>
      <w:r w:rsidRPr="00392D51">
        <w:rPr>
          <w:lang w:val="en-US"/>
        </w:rPr>
        <w:t>In diesem Beitrag geht es um einen Spezialfall des Phänomens Eid, den</w:t>
      </w:r>
      <w:r w:rsidR="00916BB6" w:rsidRPr="00392D51">
        <w:rPr>
          <w:lang w:val="en-US"/>
        </w:rPr>
        <w:t xml:space="preserve"> Dienste</w:t>
      </w:r>
      <w:r w:rsidR="00F97561" w:rsidRPr="00392D51">
        <w:rPr>
          <w:lang w:val="en-US"/>
        </w:rPr>
        <w:t>id, den Beamte am Beginn ihres Di</w:t>
      </w:r>
      <w:r w:rsidR="00916BB6" w:rsidRPr="00392D51">
        <w:rPr>
          <w:lang w:val="en-US"/>
        </w:rPr>
        <w:t>enstverhältnisses leisten</w:t>
      </w:r>
      <w:r w:rsidRPr="00392D51">
        <w:rPr>
          <w:lang w:val="en-US"/>
        </w:rPr>
        <w:t>. Es</w:t>
      </w:r>
      <w:r w:rsidR="00F97561" w:rsidRPr="00392D51">
        <w:rPr>
          <w:lang w:val="en-US"/>
        </w:rPr>
        <w:t xml:space="preserve"> wird</w:t>
      </w:r>
      <w:r w:rsidR="00FC053C" w:rsidRPr="00392D51">
        <w:rPr>
          <w:lang w:val="en-US"/>
        </w:rPr>
        <w:t xml:space="preserve"> erörtert</w:t>
      </w:r>
      <w:r w:rsidR="00F97561" w:rsidRPr="00392D51">
        <w:rPr>
          <w:lang w:val="en-US"/>
        </w:rPr>
        <w:t xml:space="preserve">, wie sich </w:t>
      </w:r>
      <w:r w:rsidR="00916BB6" w:rsidRPr="00392D51">
        <w:rPr>
          <w:lang w:val="en-US"/>
        </w:rPr>
        <w:t>der Diensteid</w:t>
      </w:r>
      <w:r w:rsidR="00F97561" w:rsidRPr="00392D51">
        <w:rPr>
          <w:lang w:val="en-US"/>
        </w:rPr>
        <w:t xml:space="preserve"> in Form und Bedeutung mit dem Ende der Habsburgermonarchie verändert hat. </w:t>
      </w:r>
      <w:r w:rsidR="00FC053C" w:rsidRPr="00392D51">
        <w:rPr>
          <w:lang w:val="en-US"/>
        </w:rPr>
        <w:t>Darüber hinaus</w:t>
      </w:r>
      <w:r w:rsidR="00F97561" w:rsidRPr="00392D51">
        <w:rPr>
          <w:lang w:val="en-US"/>
        </w:rPr>
        <w:t xml:space="preserve"> wird gezeigt, welche Rolle Eid und Gelöbnis auf den Staat Deutschösterreich für Staatsbedienstete in solchen Gebieten</w:t>
      </w:r>
      <w:r w:rsidRPr="00392D51">
        <w:rPr>
          <w:lang w:val="en-US"/>
        </w:rPr>
        <w:t xml:space="preserve"> hatten, für die zunächst ungeklärt</w:t>
      </w:r>
      <w:r w:rsidR="00F97561" w:rsidRPr="00392D51">
        <w:rPr>
          <w:lang w:val="en-US"/>
        </w:rPr>
        <w:t xml:space="preserve"> war, ob sie Teil von Deutschösterreich oder einem der Nachfolgestaaten werden sollte</w:t>
      </w:r>
      <w:r w:rsidR="00FC053C" w:rsidRPr="00392D51">
        <w:rPr>
          <w:lang w:val="en-US"/>
        </w:rPr>
        <w:t>n</w:t>
      </w:r>
      <w:r w:rsidR="00916BB6" w:rsidRPr="00392D51">
        <w:rPr>
          <w:lang w:val="en-US"/>
        </w:rPr>
        <w:t xml:space="preserve">. </w:t>
      </w:r>
      <w:r w:rsidR="00FC053C" w:rsidRPr="00392D51">
        <w:rPr>
          <w:lang w:val="en-US"/>
        </w:rPr>
        <w:t xml:space="preserve">Die ambivalente Position des deutschösterreichischen Staats gegenüber seinen Bediensteten in den umstrittenen Gebieten wird ebenso wie die Haltung </w:t>
      </w:r>
      <w:r w:rsidRPr="00392D51">
        <w:rPr>
          <w:lang w:val="en-US"/>
        </w:rPr>
        <w:t>dieser Bediensteten dargestellt, insbesondere anhand des Umgangs mit der Leistung von Eiden und Gelöbnissen.</w:t>
      </w:r>
    </w:p>
    <w:p w14:paraId="192785A4" w14:textId="63803E02" w:rsidR="00CC3FE1" w:rsidRPr="00392D51" w:rsidRDefault="00FC053C" w:rsidP="004803BD">
      <w:pPr>
        <w:pStyle w:val="berschrift2"/>
        <w:rPr>
          <w:lang w:val="en-US"/>
        </w:rPr>
      </w:pPr>
      <w:r w:rsidRPr="00392D51">
        <w:rPr>
          <w:lang w:val="en-US"/>
        </w:rPr>
        <w:t>Biographie</w:t>
      </w:r>
    </w:p>
    <w:p w14:paraId="34F46FFA" w14:textId="31CD0D8E" w:rsidR="00C66DB6" w:rsidRPr="00392D51" w:rsidRDefault="00CE352F" w:rsidP="00C66DB6">
      <w:pPr>
        <w:rPr>
          <w:lang w:val="en-US"/>
        </w:rPr>
      </w:pPr>
      <w:r w:rsidRPr="00392D51">
        <w:rPr>
          <w:lang w:val="en-US"/>
        </w:rPr>
        <w:t>THERESE GARSTENAUER</w:t>
      </w:r>
      <w:r w:rsidR="00B16DAF" w:rsidRPr="00392D51">
        <w:rPr>
          <w:lang w:val="en-US"/>
        </w:rPr>
        <w:t xml:space="preserve">, </w:t>
      </w:r>
      <w:r w:rsidRPr="00392D51">
        <w:rPr>
          <w:lang w:val="en-US"/>
        </w:rPr>
        <w:t>Senior Research Fellow an der Universität Wien</w:t>
      </w:r>
    </w:p>
    <w:p w14:paraId="72586D51" w14:textId="77777777" w:rsidR="00B16DAF" w:rsidRPr="00392D51" w:rsidRDefault="00B16DAF" w:rsidP="00C66DB6">
      <w:pPr>
        <w:rPr>
          <w:lang w:val="en-US"/>
        </w:rPr>
      </w:pPr>
    </w:p>
    <w:p w14:paraId="0212E918" w14:textId="616FBA72" w:rsidR="0084549D" w:rsidRPr="00392D51" w:rsidRDefault="00887829" w:rsidP="0084549D">
      <w:pPr>
        <w:rPr>
          <w:lang w:val="en-US"/>
        </w:rPr>
      </w:pPr>
      <w:hyperlink r:id="rId8" w:history="1">
        <w:r w:rsidR="00CE352F" w:rsidRPr="00392D51">
          <w:rPr>
            <w:rStyle w:val="Hyperlink"/>
            <w:lang w:val="en-US"/>
          </w:rPr>
          <w:t>therese.garstenauer@univie.ac.at</w:t>
        </w:r>
      </w:hyperlink>
      <w:r w:rsidR="00CE352F" w:rsidRPr="00392D51">
        <w:rPr>
          <w:lang w:val="en-US"/>
        </w:rPr>
        <w:t xml:space="preserve"> </w:t>
      </w:r>
    </w:p>
    <w:p w14:paraId="0D882A78" w14:textId="77777777" w:rsidR="00B16DAF" w:rsidRPr="00392D51" w:rsidRDefault="00B16DAF" w:rsidP="0084549D">
      <w:pPr>
        <w:rPr>
          <w:lang w:val="en-US"/>
        </w:rPr>
      </w:pPr>
    </w:p>
    <w:p w14:paraId="0C67BF95" w14:textId="70052BBE" w:rsidR="002532BA" w:rsidRPr="00392D51" w:rsidRDefault="00CE352F" w:rsidP="0084549D">
      <w:pPr>
        <w:rPr>
          <w:lang w:val="en-US"/>
        </w:rPr>
      </w:pPr>
      <w:r w:rsidRPr="00392D51">
        <w:rPr>
          <w:lang w:val="en-US"/>
        </w:rPr>
        <w:t>Universitätsring 1</w:t>
      </w:r>
    </w:p>
    <w:p w14:paraId="032D6F41" w14:textId="170D0D56" w:rsidR="002532BA" w:rsidRPr="00392D51" w:rsidRDefault="00CE352F" w:rsidP="0084549D">
      <w:pPr>
        <w:rPr>
          <w:lang w:val="en-US"/>
        </w:rPr>
      </w:pPr>
      <w:r w:rsidRPr="00392D51">
        <w:rPr>
          <w:lang w:val="en-US"/>
        </w:rPr>
        <w:t>1010 Wien</w:t>
      </w:r>
    </w:p>
    <w:p w14:paraId="7F92F749" w14:textId="77777777" w:rsidR="00B16DAF" w:rsidRPr="00392D51" w:rsidRDefault="00B16DAF" w:rsidP="0084549D">
      <w:pPr>
        <w:rPr>
          <w:lang w:val="en-US"/>
        </w:rPr>
      </w:pPr>
    </w:p>
    <w:p w14:paraId="1303BDB3" w14:textId="0A8E61AF" w:rsidR="00C66DB6" w:rsidRPr="00392D51" w:rsidRDefault="00CE352F" w:rsidP="0084549D">
      <w:pPr>
        <w:rPr>
          <w:lang w:val="en-US"/>
        </w:rPr>
      </w:pPr>
      <w:r w:rsidRPr="00392D51">
        <w:rPr>
          <w:lang w:val="en-US"/>
        </w:rPr>
        <w:t>Institut für Wirtschafts- und Sozialgeschichte</w:t>
      </w:r>
    </w:p>
    <w:p w14:paraId="74704792" w14:textId="77777777" w:rsidR="00B16DAF" w:rsidRPr="00392D51" w:rsidRDefault="00B16DAF" w:rsidP="0084549D">
      <w:pPr>
        <w:rPr>
          <w:lang w:val="en-US"/>
        </w:rPr>
      </w:pPr>
    </w:p>
    <w:p w14:paraId="7C1388D1" w14:textId="092D72D8" w:rsidR="00F97561" w:rsidRPr="00392D51" w:rsidRDefault="00F97561" w:rsidP="00F97561">
      <w:pPr>
        <w:rPr>
          <w:lang w:val="en-US"/>
        </w:rPr>
      </w:pPr>
      <w:r w:rsidRPr="00392D51">
        <w:rPr>
          <w:lang w:val="en-US"/>
        </w:rPr>
        <w:t>Studium der Soziologie, Slawi</w:t>
      </w:r>
      <w:r w:rsidR="007E205C" w:rsidRPr="00392D51">
        <w:rPr>
          <w:lang w:val="en-US"/>
        </w:rPr>
        <w:t>stik und Geschichte, Forschungsschwerpunkte : Österreich im Nationalsozialismus ; Gender Studies in Russland und in transnationalen Zusammenhängen ; Russische Unternehmenskommunikation sowie Staatsdienst und Beamte in vergleichender und globalgeschichtlicher Perspektive. Gegenwärtig Habilitationsprojekt zu</w:t>
      </w:r>
      <w:r w:rsidRPr="00392D51">
        <w:rPr>
          <w:lang w:val="en-US"/>
        </w:rPr>
        <w:t xml:space="preserve"> stan</w:t>
      </w:r>
      <w:r w:rsidR="007E205C" w:rsidRPr="00392D51">
        <w:rPr>
          <w:lang w:val="en-US"/>
        </w:rPr>
        <w:t>desgemäßer</w:t>
      </w:r>
      <w:r w:rsidRPr="00392D51">
        <w:rPr>
          <w:lang w:val="en-US"/>
        </w:rPr>
        <w:t xml:space="preserve"> Lebensführung österreichischer Staatsbediensteter (1918 – 1940).</w:t>
      </w:r>
    </w:p>
    <w:p w14:paraId="5EECC086" w14:textId="77777777" w:rsidR="00F97561" w:rsidRPr="00392D51" w:rsidRDefault="00F97561" w:rsidP="00F97561">
      <w:pPr>
        <w:rPr>
          <w:lang w:val="en-US"/>
        </w:rPr>
      </w:pPr>
    </w:p>
    <w:p w14:paraId="38948606" w14:textId="67D3A594" w:rsidR="004803BD" w:rsidRPr="00392D51" w:rsidRDefault="00FC053C" w:rsidP="00F97561">
      <w:pPr>
        <w:rPr>
          <w:lang w:val="en-US"/>
        </w:rPr>
      </w:pPr>
      <w:r w:rsidRPr="00392D51">
        <w:rPr>
          <w:lang w:val="en-US"/>
        </w:rPr>
        <w:t>Schlagwörter</w:t>
      </w:r>
      <w:r w:rsidR="004803BD" w:rsidRPr="00392D51">
        <w:rPr>
          <w:lang w:val="en-US"/>
        </w:rPr>
        <w:t xml:space="preserve">: </w:t>
      </w:r>
    </w:p>
    <w:p w14:paraId="3E12ABB4" w14:textId="02A3C9B2" w:rsidR="004803BD" w:rsidRPr="00392D51" w:rsidRDefault="003B79E7" w:rsidP="00517C3B">
      <w:pPr>
        <w:rPr>
          <w:lang w:val="en-US"/>
        </w:rPr>
      </w:pPr>
      <w:r w:rsidRPr="00392D51">
        <w:rPr>
          <w:lang w:val="en-US"/>
        </w:rPr>
        <w:t>Beamte, Dienst</w:t>
      </w:r>
      <w:r w:rsidR="00F97561" w:rsidRPr="00392D51">
        <w:rPr>
          <w:lang w:val="en-US"/>
        </w:rPr>
        <w:t>eid, Gelöbnis, Nachfolgestaaten der Habsburgermonarchie, Österreich, Staatsbedienstete, Treue, Treu</w:t>
      </w:r>
      <w:r w:rsidR="000A40A7" w:rsidRPr="00392D51">
        <w:rPr>
          <w:lang w:val="en-US"/>
        </w:rPr>
        <w:t>eid, Zwischenkriegszeit</w:t>
      </w:r>
    </w:p>
    <w:p w14:paraId="6DBAA5D3" w14:textId="77777777" w:rsidR="00CC3FE1" w:rsidRPr="00392D51" w:rsidRDefault="00CC3FE1" w:rsidP="00517C3B">
      <w:pPr>
        <w:pStyle w:val="berschrift2"/>
        <w:rPr>
          <w:lang w:val="en-US"/>
        </w:rPr>
      </w:pPr>
    </w:p>
    <w:p w14:paraId="05F45785" w14:textId="77777777" w:rsidR="00517C3B" w:rsidRPr="00C66DB6" w:rsidRDefault="00517C3B" w:rsidP="00517C3B">
      <w:pPr>
        <w:rPr>
          <w:lang w:val="en-US"/>
        </w:rPr>
      </w:pPr>
    </w:p>
    <w:p w14:paraId="6E1CBB7F" w14:textId="77777777" w:rsidR="00281C5E" w:rsidRPr="00C66DB6" w:rsidRDefault="00281C5E" w:rsidP="00E5121D">
      <w:pPr>
        <w:rPr>
          <w:lang w:val="en-US"/>
        </w:rPr>
      </w:pPr>
    </w:p>
    <w:p w14:paraId="2AE6BBB8" w14:textId="4021C66C" w:rsidR="0096307A" w:rsidRPr="00392D51" w:rsidRDefault="00401501" w:rsidP="0067197D">
      <w:pPr>
        <w:pStyle w:val="berschrift1"/>
        <w:rPr>
          <w:lang w:val="en-US"/>
        </w:rPr>
      </w:pPr>
      <w:r w:rsidRPr="00916BB6">
        <w:rPr>
          <w:lang w:val="de-AT"/>
        </w:rPr>
        <w:lastRenderedPageBreak/>
        <w:t>Diensteide und Gelöbnisse ehemaliger Bediensteter der Habsburgermonarchie 1918 – 1921</w:t>
      </w:r>
    </w:p>
    <w:p w14:paraId="534A3BA0" w14:textId="77777777" w:rsidR="0067197D" w:rsidRPr="00392D51" w:rsidRDefault="0067197D" w:rsidP="0067197D">
      <w:pPr>
        <w:rPr>
          <w:lang w:val="en-US"/>
        </w:rPr>
      </w:pPr>
    </w:p>
    <w:p w14:paraId="7C6CEA66" w14:textId="225B0ECC" w:rsidR="009C0E00" w:rsidRPr="00392D51" w:rsidRDefault="00401501" w:rsidP="00B16DAF">
      <w:pPr>
        <w:pStyle w:val="berschrift2"/>
        <w:ind w:firstLine="284"/>
        <w:rPr>
          <w:lang w:val="en-US"/>
        </w:rPr>
      </w:pPr>
      <w:r w:rsidRPr="00392D51">
        <w:rPr>
          <w:lang w:val="en-US"/>
        </w:rPr>
        <w:t>Einleitung</w:t>
      </w:r>
    </w:p>
    <w:p w14:paraId="46B83AC5" w14:textId="48EA2D72" w:rsidR="00401501" w:rsidRPr="006026DC" w:rsidRDefault="00401501" w:rsidP="00401501">
      <w:pPr>
        <w:rPr>
          <w:rFonts w:cs="Times New Roman"/>
          <w:szCs w:val="24"/>
          <w:lang w:val="de-AT"/>
        </w:rPr>
      </w:pPr>
      <w:bookmarkStart w:id="0" w:name="_Hlk498969893"/>
      <w:r w:rsidRPr="006026DC">
        <w:rPr>
          <w:rFonts w:cs="Times New Roman"/>
          <w:szCs w:val="24"/>
          <w:lang w:val="de-AT"/>
        </w:rPr>
        <w:t>Max Weber schrieb im frühen 20.</w:t>
      </w:r>
      <w:r w:rsidR="00F2085A">
        <w:rPr>
          <w:rFonts w:cs="Times New Roman"/>
          <w:szCs w:val="24"/>
          <w:lang w:val="de-AT"/>
        </w:rPr>
        <w:t xml:space="preserve"> Jahrhundert über Beamte: „</w:t>
      </w:r>
      <w:r w:rsidRPr="006026DC">
        <w:rPr>
          <w:rFonts w:cs="Times New Roman"/>
          <w:szCs w:val="24"/>
          <w:lang w:val="de-AT"/>
        </w:rPr>
        <w:t>der Eintritt in das Amt gilt […] als Uebernahme einer spezifischen Amtstreuepflicht gegen Gewährung einer gesicherten Existenz</w:t>
      </w:r>
      <w:r w:rsidRPr="006026DC">
        <w:rPr>
          <w:rStyle w:val="Funotenzeichen"/>
          <w:rFonts w:cs="Times New Roman"/>
          <w:lang w:val="de-AT"/>
        </w:rPr>
        <w:footnoteReference w:id="1"/>
      </w:r>
      <w:r w:rsidRPr="006026DC">
        <w:rPr>
          <w:rFonts w:cs="Times New Roman"/>
          <w:szCs w:val="24"/>
          <w:lang w:val="de-AT"/>
        </w:rPr>
        <w:t xml:space="preserve">.“ Am Beginn des </w:t>
      </w:r>
      <w:r>
        <w:rPr>
          <w:rFonts w:cs="Times New Roman"/>
          <w:szCs w:val="24"/>
          <w:lang w:val="de-AT"/>
        </w:rPr>
        <w:t>Dienst- und Treueverhältnisses zwischen einem</w:t>
      </w:r>
      <w:r w:rsidRPr="006026DC">
        <w:rPr>
          <w:rFonts w:cs="Times New Roman"/>
          <w:szCs w:val="24"/>
          <w:lang w:val="de-AT"/>
        </w:rPr>
        <w:t xml:space="preserve"> Beamten oder ein</w:t>
      </w:r>
      <w:r>
        <w:rPr>
          <w:rFonts w:cs="Times New Roman"/>
          <w:szCs w:val="24"/>
          <w:lang w:val="de-AT"/>
        </w:rPr>
        <w:t>er Beamtin und de</w:t>
      </w:r>
      <w:r w:rsidRPr="006026DC">
        <w:rPr>
          <w:rFonts w:cs="Times New Roman"/>
          <w:szCs w:val="24"/>
          <w:lang w:val="de-AT"/>
        </w:rPr>
        <w:t>m Dienstgeber muss bis heute in vielen Staaten ein Eid abgelegt werden. In diesem Beitrag soll erörtert werden welche Bedeutung diesem Diensteid für Staatsbedienstete in den Jahren nach dem Ende der Habsburgermonarchie zukam, und welche Veränderungen die Eidesformel erfuhr. Es wird insbesondere um Personen gehen, für deren Dienstorte bis zum Vertrag von Sa</w:t>
      </w:r>
      <w:r w:rsidR="00F2085A">
        <w:rPr>
          <w:rFonts w:cs="Times New Roman"/>
          <w:szCs w:val="24"/>
          <w:lang w:val="de-AT"/>
        </w:rPr>
        <w:t>int-Germain-en-Laye nicht geklärt</w:t>
      </w:r>
      <w:r w:rsidRPr="006026DC">
        <w:rPr>
          <w:rFonts w:cs="Times New Roman"/>
          <w:szCs w:val="24"/>
          <w:lang w:val="de-AT"/>
        </w:rPr>
        <w:t xml:space="preserve"> war, ob sie der Republik (Deutsch-)Österreich oder einem der Nachfolgestaaten zugerechnet werden sollten</w:t>
      </w:r>
      <w:r>
        <w:rPr>
          <w:rFonts w:cs="Times New Roman"/>
          <w:szCs w:val="24"/>
          <w:lang w:val="de-AT"/>
        </w:rPr>
        <w:t xml:space="preserve"> (z. B. Deutschböhmen und </w:t>
      </w:r>
      <w:r w:rsidRPr="006026DC">
        <w:rPr>
          <w:rFonts w:cs="Times New Roman"/>
          <w:szCs w:val="24"/>
          <w:lang w:val="de-AT"/>
        </w:rPr>
        <w:t xml:space="preserve">die </w:t>
      </w:r>
      <w:r>
        <w:rPr>
          <w:rFonts w:cs="Times New Roman"/>
          <w:szCs w:val="24"/>
          <w:lang w:val="de-AT"/>
        </w:rPr>
        <w:t>Untersteiermark</w:t>
      </w:r>
      <w:r w:rsidRPr="006026DC">
        <w:rPr>
          <w:rFonts w:cs="Times New Roman"/>
          <w:szCs w:val="24"/>
          <w:lang w:val="de-AT"/>
        </w:rPr>
        <w:t>). Ich</w:t>
      </w:r>
      <w:r>
        <w:rPr>
          <w:rFonts w:cs="Times New Roman"/>
          <w:szCs w:val="24"/>
          <w:lang w:val="de-AT"/>
        </w:rPr>
        <w:t xml:space="preserve"> werde zeigen, dass die Ablegung</w:t>
      </w:r>
      <w:r w:rsidRPr="006026DC">
        <w:rPr>
          <w:rFonts w:cs="Times New Roman"/>
          <w:szCs w:val="24"/>
          <w:lang w:val="de-AT"/>
        </w:rPr>
        <w:t xml:space="preserve"> des Dienst- und Treueides bzw. -gelöbnisses auf die Republik für die Staatsbediensteten </w:t>
      </w:r>
      <w:r>
        <w:rPr>
          <w:rFonts w:cs="Times New Roman"/>
          <w:szCs w:val="24"/>
          <w:lang w:val="de-AT"/>
        </w:rPr>
        <w:t xml:space="preserve">in diesem Kontext </w:t>
      </w:r>
      <w:r w:rsidRPr="006026DC">
        <w:rPr>
          <w:rFonts w:cs="Times New Roman"/>
          <w:szCs w:val="24"/>
          <w:lang w:val="de-AT"/>
        </w:rPr>
        <w:t>abgesehen von der Treuebekundung auch Zugang zu (Weiter-)Beschäftigung und den damit verbundenen Ansprüchen bedeutete. Beamte verhielten sich in dieser unklaren Situation unterschiedlich. Die Akten des in der Republik Deutschösterreich für Staatsbedienstete zuständigen „Zwischenstaatsamtlichen Komitees“</w:t>
      </w:r>
      <w:r w:rsidRPr="006026DC">
        <w:rPr>
          <w:rStyle w:val="Funotenzeichen"/>
          <w:rFonts w:cs="Times New Roman"/>
          <w:lang w:val="de-AT"/>
        </w:rPr>
        <w:footnoteReference w:id="2"/>
      </w:r>
      <w:r w:rsidRPr="006026DC">
        <w:rPr>
          <w:rFonts w:cs="Times New Roman"/>
          <w:szCs w:val="24"/>
          <w:lang w:val="de-AT"/>
        </w:rPr>
        <w:t xml:space="preserve"> überliefern uns Bittsteller, </w:t>
      </w:r>
      <w:r>
        <w:rPr>
          <w:rFonts w:cs="Times New Roman"/>
          <w:szCs w:val="24"/>
          <w:lang w:val="de-AT"/>
        </w:rPr>
        <w:t xml:space="preserve">vorsichtig </w:t>
      </w:r>
      <w:r w:rsidRPr="006026DC">
        <w:rPr>
          <w:rFonts w:cs="Times New Roman"/>
          <w:szCs w:val="24"/>
          <w:lang w:val="de-AT"/>
        </w:rPr>
        <w:t>Nachfragende sowie mitunter auch solche, die ihr Bekenntnis zur Republik von Bedingungen abhängig machten. Zunächst sollen aber die zentralen Begriffe dieses Beitrags erörtert werden.</w:t>
      </w:r>
    </w:p>
    <w:p w14:paraId="709D4234" w14:textId="77777777" w:rsidR="00B16DAF" w:rsidRPr="00401501" w:rsidRDefault="00B16DAF" w:rsidP="00B16DAF">
      <w:pPr>
        <w:ind w:firstLine="284"/>
        <w:rPr>
          <w:lang w:val="de-AT"/>
        </w:rPr>
      </w:pPr>
    </w:p>
    <w:bookmarkEnd w:id="0"/>
    <w:p w14:paraId="3D7CF0E5" w14:textId="77777777" w:rsidR="00E17C7D" w:rsidRPr="006026DC" w:rsidRDefault="00E17C7D" w:rsidP="00E17C7D">
      <w:pPr>
        <w:pStyle w:val="berschrift2"/>
        <w:ind w:firstLine="0"/>
        <w:rPr>
          <w:lang w:val="de-AT"/>
        </w:rPr>
      </w:pPr>
      <w:r w:rsidRPr="006026DC">
        <w:rPr>
          <w:lang w:val="de-AT"/>
        </w:rPr>
        <w:t>Eid, Gelöbnis, Treue</w:t>
      </w:r>
      <w:r>
        <w:rPr>
          <w:lang w:val="de-AT"/>
        </w:rPr>
        <w:t>, Loyalität</w:t>
      </w:r>
    </w:p>
    <w:p w14:paraId="7D3253FC" w14:textId="77777777" w:rsidR="00E17C7D" w:rsidRDefault="00E17C7D" w:rsidP="00E17C7D">
      <w:pPr>
        <w:rPr>
          <w:rFonts w:cs="Times New Roman"/>
          <w:szCs w:val="24"/>
          <w:lang w:val="de-AT"/>
        </w:rPr>
      </w:pPr>
      <w:r w:rsidRPr="006026DC">
        <w:rPr>
          <w:rFonts w:cs="Times New Roman"/>
          <w:szCs w:val="24"/>
          <w:lang w:val="de-AT"/>
        </w:rPr>
        <w:t xml:space="preserve">In seinem Überblick zum Eid in der europäischen Verfassungsgeschichte charakterisiert Paolo Prodi den Eid als </w:t>
      </w:r>
    </w:p>
    <w:p w14:paraId="2CCD3557" w14:textId="77777777" w:rsidR="00E17C7D" w:rsidRPr="006026DC" w:rsidRDefault="00E17C7D" w:rsidP="00E17C7D">
      <w:pPr>
        <w:rPr>
          <w:rFonts w:cs="Times New Roman"/>
          <w:szCs w:val="24"/>
          <w:lang w:val="de-AT"/>
        </w:rPr>
      </w:pPr>
    </w:p>
    <w:p w14:paraId="0ECCDFBD" w14:textId="2D7F2089" w:rsidR="00E17C7D" w:rsidRDefault="00E17C7D" w:rsidP="00E17C7D">
      <w:pPr>
        <w:ind w:left="567" w:right="567"/>
        <w:rPr>
          <w:rFonts w:cs="Times New Roman"/>
          <w:sz w:val="20"/>
          <w:lang w:val="de-AT"/>
        </w:rPr>
      </w:pPr>
      <w:r w:rsidRPr="006026DC">
        <w:rPr>
          <w:rFonts w:cs="Times New Roman"/>
          <w:sz w:val="20"/>
          <w:lang w:val="de-AT"/>
        </w:rPr>
        <w:t>die Anrufung der Gottheit als Zeuge und Garant der Wahrheit einer Aussage oder Behauptung oder eines Versprechens bzw. der Verpflichtung, in Zukunft bestimmte Handlungen zu vollführen (oder ein bestimmtes Verhalten beizubehalten). Mit der eidlichen Anrufung begründet der einzelne nicht nur eine Sozialbindung zu anderen Personen, sondern auch zu der ganzen Gruppe, der er angehört; entsprechend allgemeiner Glaubensvorstellungen, die die Sphäre des Politischen überschreiten, setzt er dabei sein physisches und spirituelles Leben zum Pfand</w:t>
      </w:r>
      <w:r w:rsidRPr="006026DC">
        <w:rPr>
          <w:rStyle w:val="Funotenzeichen"/>
          <w:rFonts w:cs="Times New Roman"/>
          <w:sz w:val="20"/>
          <w:lang w:val="de-AT"/>
        </w:rPr>
        <w:footnoteReference w:id="3"/>
      </w:r>
      <w:r w:rsidRPr="006026DC">
        <w:rPr>
          <w:rFonts w:cs="Times New Roman"/>
          <w:sz w:val="20"/>
          <w:lang w:val="de-AT"/>
        </w:rPr>
        <w:t>.</w:t>
      </w:r>
    </w:p>
    <w:p w14:paraId="578409B2" w14:textId="77777777" w:rsidR="00E17C7D" w:rsidRPr="006026DC" w:rsidRDefault="00E17C7D" w:rsidP="00E17C7D">
      <w:pPr>
        <w:ind w:left="567" w:right="567"/>
        <w:rPr>
          <w:rFonts w:cs="Times New Roman"/>
          <w:sz w:val="20"/>
          <w:lang w:val="de-AT"/>
        </w:rPr>
      </w:pPr>
    </w:p>
    <w:p w14:paraId="64B00C6E" w14:textId="77777777" w:rsidR="00E17C7D" w:rsidRDefault="00E17C7D" w:rsidP="00E17C7D">
      <w:pPr>
        <w:rPr>
          <w:rFonts w:cs="Times New Roman"/>
          <w:szCs w:val="24"/>
          <w:lang w:val="de-AT"/>
        </w:rPr>
      </w:pPr>
      <w:r w:rsidRPr="006026DC">
        <w:rPr>
          <w:rFonts w:cs="Times New Roman"/>
          <w:szCs w:val="24"/>
          <w:lang w:val="de-AT"/>
        </w:rPr>
        <w:t>Eidesformeln sind traditionell „als bedingte Selbstverfluchung gestaltet, bei der Gott zum Rächer des Meineides wird</w:t>
      </w:r>
      <w:r w:rsidRPr="006026DC">
        <w:rPr>
          <w:rStyle w:val="Funotenzeichen"/>
          <w:rFonts w:cs="Times New Roman"/>
          <w:lang w:val="de-AT"/>
        </w:rPr>
        <w:footnoteReference w:id="4"/>
      </w:r>
      <w:r w:rsidRPr="006026DC">
        <w:rPr>
          <w:rFonts w:cs="Times New Roman"/>
          <w:szCs w:val="24"/>
          <w:lang w:val="de-AT"/>
        </w:rPr>
        <w:t>.” Sinn und Zweck eines Eids ist die gesicherte Zusage von Wahrhaftigkeit und Loyalität.</w:t>
      </w:r>
    </w:p>
    <w:p w14:paraId="7F74C940" w14:textId="77777777" w:rsidR="00E17C7D" w:rsidRPr="006026DC" w:rsidRDefault="00E17C7D" w:rsidP="00E17C7D">
      <w:pPr>
        <w:rPr>
          <w:rFonts w:cs="Times New Roman"/>
          <w:szCs w:val="24"/>
          <w:lang w:val="de-AT"/>
        </w:rPr>
      </w:pPr>
    </w:p>
    <w:p w14:paraId="50D9CFB2" w14:textId="5E6DEB97" w:rsidR="00E17C7D" w:rsidRDefault="00E17C7D" w:rsidP="00E17C7D">
      <w:pPr>
        <w:ind w:left="567" w:right="567"/>
        <w:rPr>
          <w:rFonts w:cs="Times New Roman"/>
          <w:sz w:val="20"/>
          <w:lang w:val="de-AT"/>
        </w:rPr>
      </w:pPr>
      <w:r w:rsidRPr="006026DC">
        <w:rPr>
          <w:rFonts w:cs="Times New Roman"/>
          <w:sz w:val="20"/>
          <w:lang w:val="de-AT"/>
        </w:rPr>
        <w:t>So wurde die Wahrheit der Aussage oder die Aufrichtigkeit des Versprechens beteuert bei irgend einem dem Beteuernden besonders wertvollen Gute, bei irgend einer übermenschlichen Macht, wobei der Gedanke lebendig war, daß diese Macht ihn strafen werde, daß ihn an diesem Gute Unheil treffen werde, wenn seine Aussage falsch sei, sein Versprechen nicht gehalten würde</w:t>
      </w:r>
      <w:r w:rsidRPr="006026DC">
        <w:rPr>
          <w:rStyle w:val="Funotenzeichen"/>
          <w:rFonts w:cs="Times New Roman"/>
          <w:sz w:val="20"/>
          <w:lang w:val="de-AT"/>
        </w:rPr>
        <w:footnoteReference w:id="5"/>
      </w:r>
      <w:r w:rsidRPr="006026DC">
        <w:rPr>
          <w:rFonts w:cs="Times New Roman"/>
          <w:sz w:val="20"/>
          <w:lang w:val="de-AT"/>
        </w:rPr>
        <w:t xml:space="preserve">. </w:t>
      </w:r>
    </w:p>
    <w:p w14:paraId="3E59A96A" w14:textId="77777777" w:rsidR="00E17C7D" w:rsidRPr="006026DC" w:rsidRDefault="00E17C7D" w:rsidP="00E17C7D">
      <w:pPr>
        <w:ind w:left="567" w:right="567"/>
        <w:rPr>
          <w:rFonts w:cs="Times New Roman"/>
          <w:sz w:val="20"/>
          <w:lang w:val="de-AT"/>
        </w:rPr>
      </w:pPr>
    </w:p>
    <w:p w14:paraId="4F01C38B" w14:textId="39F3FB30" w:rsidR="00E17C7D" w:rsidRPr="006026DC" w:rsidRDefault="00E17C7D" w:rsidP="00E17C7D">
      <w:pPr>
        <w:rPr>
          <w:rFonts w:cs="Times New Roman"/>
          <w:szCs w:val="24"/>
          <w:lang w:val="de-AT"/>
        </w:rPr>
      </w:pPr>
      <w:r w:rsidRPr="006026DC">
        <w:rPr>
          <w:rFonts w:cs="Times New Roman"/>
          <w:szCs w:val="24"/>
          <w:lang w:val="de-AT"/>
        </w:rPr>
        <w:t>Die</w:t>
      </w:r>
      <w:r>
        <w:rPr>
          <w:rFonts w:cs="Times New Roman"/>
          <w:szCs w:val="24"/>
          <w:lang w:val="de-AT"/>
        </w:rPr>
        <w:t xml:space="preserve"> Position dieser </w:t>
      </w:r>
      <w:r w:rsidRPr="006026DC">
        <w:rPr>
          <w:rFonts w:cs="Times New Roman"/>
          <w:szCs w:val="24"/>
          <w:lang w:val="de-AT"/>
        </w:rPr>
        <w:t>übermenschliche</w:t>
      </w:r>
      <w:r>
        <w:rPr>
          <w:rFonts w:cs="Times New Roman"/>
          <w:szCs w:val="24"/>
          <w:lang w:val="de-AT"/>
        </w:rPr>
        <w:t>n Macht nimmt</w:t>
      </w:r>
      <w:r w:rsidRPr="006026DC">
        <w:rPr>
          <w:rFonts w:cs="Times New Roman"/>
          <w:szCs w:val="24"/>
          <w:lang w:val="de-AT"/>
        </w:rPr>
        <w:t xml:space="preserve"> in christlich geprägten Kulturen üblicherweise Gott</w:t>
      </w:r>
      <w:r>
        <w:rPr>
          <w:rFonts w:cs="Times New Roman"/>
          <w:szCs w:val="24"/>
          <w:lang w:val="de-AT"/>
        </w:rPr>
        <w:t xml:space="preserve"> ein</w:t>
      </w:r>
      <w:r w:rsidRPr="006026DC">
        <w:rPr>
          <w:rFonts w:cs="Times New Roman"/>
          <w:szCs w:val="24"/>
          <w:lang w:val="de-AT"/>
        </w:rPr>
        <w:t xml:space="preserve">. Die Leistung eines Eids soll „in die tieferen Schichten der Persönlichkeit eindringen […], um im Unbewussten und Unterbewusstsein […] die neu eingegangene Mitgliedschaftsbeziehung emotional </w:t>
      </w:r>
      <w:r w:rsidR="00980DAB">
        <w:rPr>
          <w:rFonts w:cs="Times New Roman"/>
          <w:szCs w:val="24"/>
          <w:lang w:val="de-AT"/>
        </w:rPr>
        <w:t xml:space="preserve">zu </w:t>
      </w:r>
      <w:r w:rsidRPr="006026DC">
        <w:rPr>
          <w:rFonts w:cs="Times New Roman"/>
          <w:szCs w:val="24"/>
          <w:lang w:val="de-AT"/>
        </w:rPr>
        <w:t>verankern</w:t>
      </w:r>
      <w:r w:rsidRPr="006026DC">
        <w:rPr>
          <w:rStyle w:val="Funotenzeichen"/>
          <w:rFonts w:cs="Times New Roman"/>
          <w:lang w:val="de-AT"/>
        </w:rPr>
        <w:footnoteReference w:id="6"/>
      </w:r>
      <w:r w:rsidRPr="006026DC">
        <w:rPr>
          <w:rFonts w:cs="Times New Roman"/>
          <w:szCs w:val="24"/>
          <w:lang w:val="de-AT"/>
        </w:rPr>
        <w:t>.“ Dabei beruht der Eid auf Freiwilligkeit, auf der „Entscheidung des Eidgebers, sich durch den gegebenen Schwur innerlich gebunden zu fühlen</w:t>
      </w:r>
      <w:r w:rsidRPr="006026DC">
        <w:rPr>
          <w:rStyle w:val="Funotenzeichen"/>
          <w:rFonts w:cs="Times New Roman"/>
          <w:lang w:val="de-AT"/>
        </w:rPr>
        <w:footnoteReference w:id="7"/>
      </w:r>
      <w:r w:rsidRPr="006026DC">
        <w:rPr>
          <w:rFonts w:cs="Times New Roman"/>
          <w:szCs w:val="24"/>
          <w:lang w:val="de-AT"/>
        </w:rPr>
        <w:t>“. Diese Entscheidung ist eine individuell moralische, wird aber beeinflusst durch die Gültigkeit gesellschaftlicher Normen (wie etwa Treue)</w:t>
      </w:r>
      <w:r w:rsidRPr="006026DC">
        <w:rPr>
          <w:rStyle w:val="Funotenzeichen"/>
          <w:rFonts w:cs="Times New Roman"/>
          <w:lang w:val="de-AT"/>
        </w:rPr>
        <w:footnoteReference w:id="8"/>
      </w:r>
      <w:r w:rsidRPr="006026DC">
        <w:rPr>
          <w:rFonts w:cs="Times New Roman"/>
          <w:szCs w:val="24"/>
          <w:lang w:val="de-AT"/>
        </w:rPr>
        <w:t>. Das römische Recht unterscheidet zwischen dem assertorischen (bekundenden, verpflichtenden) und dem promissorischen (versprechenden) Eid</w:t>
      </w:r>
      <w:r w:rsidRPr="006026DC">
        <w:rPr>
          <w:rStyle w:val="Funotenzeichen"/>
          <w:rFonts w:cs="Times New Roman"/>
          <w:lang w:val="de-AT"/>
        </w:rPr>
        <w:footnoteReference w:id="9"/>
      </w:r>
      <w:r w:rsidRPr="006026DC">
        <w:rPr>
          <w:rFonts w:cs="Times New Roman"/>
          <w:szCs w:val="24"/>
          <w:lang w:val="de-AT"/>
        </w:rPr>
        <w:t>. Der Diensteid der Beamten ist ein promissorischer politischer Eid</w:t>
      </w:r>
      <w:r w:rsidRPr="006026DC">
        <w:rPr>
          <w:rStyle w:val="Funotenzeichen"/>
          <w:rFonts w:cs="Times New Roman"/>
          <w:lang w:val="de-AT"/>
        </w:rPr>
        <w:footnoteReference w:id="10"/>
      </w:r>
      <w:r w:rsidRPr="006026DC">
        <w:rPr>
          <w:rFonts w:cs="Times New Roman"/>
          <w:szCs w:val="24"/>
          <w:lang w:val="de-AT"/>
        </w:rPr>
        <w:t xml:space="preserve"> der </w:t>
      </w:r>
      <w:r w:rsidR="00773154">
        <w:rPr>
          <w:rFonts w:cs="Times New Roman"/>
          <w:szCs w:val="24"/>
          <w:lang w:val="de-AT"/>
        </w:rPr>
        <w:t>auch</w:t>
      </w:r>
      <w:r>
        <w:rPr>
          <w:rFonts w:cs="Times New Roman"/>
          <w:szCs w:val="24"/>
          <w:lang w:val="de-AT"/>
        </w:rPr>
        <w:t xml:space="preserve"> </w:t>
      </w:r>
      <w:r w:rsidRPr="006026DC">
        <w:rPr>
          <w:rFonts w:cs="Times New Roman"/>
          <w:szCs w:val="24"/>
          <w:lang w:val="de-AT"/>
        </w:rPr>
        <w:t xml:space="preserve">dazu dienen soll, </w:t>
      </w:r>
      <w:r w:rsidR="00980DAB">
        <w:rPr>
          <w:rFonts w:cs="Times New Roman"/>
          <w:szCs w:val="24"/>
          <w:lang w:val="de-AT"/>
        </w:rPr>
        <w:t>„</w:t>
      </w:r>
      <w:r w:rsidRPr="006026DC">
        <w:rPr>
          <w:rFonts w:cs="Times New Roman"/>
          <w:szCs w:val="24"/>
          <w:lang w:val="de-AT"/>
        </w:rPr>
        <w:t>den Bestand der gegenwärtigen Staatsordnung zu sichern</w:t>
      </w:r>
      <w:r w:rsidRPr="006026DC">
        <w:rPr>
          <w:rStyle w:val="Funotenzeichen"/>
          <w:rFonts w:cs="Times New Roman"/>
          <w:lang w:val="de-AT"/>
        </w:rPr>
        <w:footnoteReference w:id="11"/>
      </w:r>
      <w:r w:rsidRPr="006026DC">
        <w:rPr>
          <w:rFonts w:cs="Times New Roman"/>
          <w:szCs w:val="24"/>
          <w:lang w:val="de-AT"/>
        </w:rPr>
        <w:t>.“</w:t>
      </w:r>
    </w:p>
    <w:p w14:paraId="11B78A35" w14:textId="5052304B" w:rsidR="00E17C7D" w:rsidRPr="006026DC" w:rsidRDefault="00E17C7D" w:rsidP="00E17C7D">
      <w:pPr>
        <w:rPr>
          <w:rFonts w:cs="Times New Roman"/>
          <w:szCs w:val="24"/>
          <w:lang w:val="de-AT"/>
        </w:rPr>
      </w:pPr>
      <w:r w:rsidRPr="006026DC">
        <w:rPr>
          <w:rFonts w:cs="Times New Roman"/>
          <w:szCs w:val="24"/>
          <w:lang w:val="de-AT"/>
        </w:rPr>
        <w:t>Auch das Gelöbnis ist ein feierliches, verpflichtendes Versprechen, allerdings steht es „unterhalb eines beeideten Versprechens, welches die göttliche Zeugenschaft hinzufordert</w:t>
      </w:r>
      <w:r w:rsidRPr="006026DC">
        <w:rPr>
          <w:rStyle w:val="Funotenzeichen"/>
          <w:rFonts w:cs="Times New Roman"/>
          <w:lang w:val="de-AT"/>
        </w:rPr>
        <w:footnoteReference w:id="12"/>
      </w:r>
      <w:r w:rsidRPr="006026DC">
        <w:rPr>
          <w:rFonts w:cs="Times New Roman"/>
          <w:szCs w:val="24"/>
          <w:lang w:val="de-AT"/>
        </w:rPr>
        <w:t>“ und hat sohin „weniger Gewicht</w:t>
      </w:r>
      <w:r w:rsidRPr="006026DC">
        <w:rPr>
          <w:rStyle w:val="Funotenzeichen"/>
          <w:rFonts w:cs="Times New Roman"/>
          <w:lang w:val="de-AT"/>
        </w:rPr>
        <w:footnoteReference w:id="13"/>
      </w:r>
      <w:r w:rsidRPr="006026DC">
        <w:rPr>
          <w:rFonts w:cs="Times New Roman"/>
          <w:szCs w:val="24"/>
          <w:lang w:val="de-AT"/>
        </w:rPr>
        <w:t>“ als der Eid. Die Person, die das Gelöbnis ablegt, beruft sich auf die „Ehrhaftigkeit und Zuverlässigkeit</w:t>
      </w:r>
      <w:r w:rsidRPr="006026DC">
        <w:rPr>
          <w:rStyle w:val="Funotenzeichen"/>
          <w:rFonts w:cs="Times New Roman"/>
          <w:lang w:val="de-AT"/>
        </w:rPr>
        <w:footnoteReference w:id="14"/>
      </w:r>
      <w:r w:rsidRPr="006026DC">
        <w:rPr>
          <w:rFonts w:cs="Times New Roman"/>
          <w:szCs w:val="24"/>
          <w:lang w:val="de-AT"/>
        </w:rPr>
        <w:t>“ der eigenen Person. Der Diensteid, enthält, wie weiter unten gezeigt wird, Elemente des Eides ebenso wie des Gelöbnisses, und in der Periode, um die es in diesem Beitrag geht</w:t>
      </w:r>
      <w:r w:rsidR="00980DAB">
        <w:rPr>
          <w:rFonts w:cs="Times New Roman"/>
          <w:szCs w:val="24"/>
          <w:lang w:val="de-AT"/>
        </w:rPr>
        <w:t>,</w:t>
      </w:r>
      <w:r w:rsidRPr="006026DC">
        <w:rPr>
          <w:rFonts w:cs="Times New Roman"/>
          <w:szCs w:val="24"/>
          <w:lang w:val="de-AT"/>
        </w:rPr>
        <w:t xml:space="preserve"> passiert in der in (Deutsch-)Österreich verwendeten Eidesformel eine Versc</w:t>
      </w:r>
      <w:r w:rsidR="00F2085A">
        <w:rPr>
          <w:rFonts w:cs="Times New Roman"/>
          <w:szCs w:val="24"/>
          <w:lang w:val="de-AT"/>
        </w:rPr>
        <w:t xml:space="preserve">hiebung, welche die </w:t>
      </w:r>
      <w:r w:rsidRPr="006026DC">
        <w:rPr>
          <w:rFonts w:cs="Times New Roman"/>
          <w:szCs w:val="24"/>
          <w:lang w:val="de-AT"/>
        </w:rPr>
        <w:t>Frage aufwirft, ob der so genannte Eid nicht unter der Hand zu einem bloßen Gelöbnis geworden sei.</w:t>
      </w:r>
    </w:p>
    <w:p w14:paraId="493DDD82" w14:textId="7C139ACA" w:rsidR="00E17C7D" w:rsidRDefault="00E17C7D" w:rsidP="00E17C7D">
      <w:pPr>
        <w:rPr>
          <w:rFonts w:cs="Times New Roman"/>
          <w:szCs w:val="24"/>
          <w:lang w:val="de-AT"/>
        </w:rPr>
      </w:pPr>
      <w:r w:rsidRPr="006026DC">
        <w:rPr>
          <w:rFonts w:cs="Times New Roman"/>
          <w:szCs w:val="24"/>
          <w:lang w:val="de-AT"/>
        </w:rPr>
        <w:t xml:space="preserve">Ein Treueid steht am Anfang </w:t>
      </w:r>
      <w:r>
        <w:rPr>
          <w:rFonts w:cs="Times New Roman"/>
          <w:szCs w:val="24"/>
          <w:lang w:val="de-AT"/>
        </w:rPr>
        <w:t xml:space="preserve">der Formeln </w:t>
      </w:r>
      <w:r w:rsidRPr="006026DC">
        <w:rPr>
          <w:rFonts w:cs="Times New Roman"/>
          <w:szCs w:val="24"/>
          <w:lang w:val="de-AT"/>
        </w:rPr>
        <w:t>des Diensteids</w:t>
      </w:r>
      <w:r>
        <w:rPr>
          <w:rFonts w:cs="Times New Roman"/>
          <w:szCs w:val="24"/>
          <w:lang w:val="de-AT"/>
        </w:rPr>
        <w:t>, die in diesem Beitrag besprochen werden</w:t>
      </w:r>
      <w:r w:rsidRPr="006026DC">
        <w:rPr>
          <w:rFonts w:cs="Times New Roman"/>
          <w:szCs w:val="24"/>
          <w:lang w:val="de-AT"/>
        </w:rPr>
        <w:t>. Treue ist eine „Grundnorm der Neuzeit</w:t>
      </w:r>
      <w:r w:rsidRPr="006026DC">
        <w:rPr>
          <w:rStyle w:val="Funotenzeichen"/>
          <w:rFonts w:cs="Times New Roman"/>
          <w:lang w:val="de-AT"/>
        </w:rPr>
        <w:footnoteReference w:id="15"/>
      </w:r>
      <w:r w:rsidRPr="006026DC">
        <w:rPr>
          <w:rFonts w:cs="Times New Roman"/>
          <w:szCs w:val="24"/>
          <w:lang w:val="de-AT"/>
        </w:rPr>
        <w:t>“, und gilt als „Basiskategorie sozialer Relationen, die spezifische Formen von Vergesellschaftung, den Bestand von sozialen Beziehungen über die Zeit hinweg überhaupt erst gewährleisten</w:t>
      </w:r>
      <w:r w:rsidRPr="006026DC">
        <w:rPr>
          <w:rStyle w:val="Funotenzeichen"/>
          <w:rFonts w:cs="Times New Roman"/>
          <w:lang w:val="de-AT"/>
        </w:rPr>
        <w:footnoteReference w:id="16"/>
      </w:r>
      <w:r w:rsidRPr="006026DC">
        <w:rPr>
          <w:rFonts w:cs="Times New Roman"/>
          <w:szCs w:val="24"/>
          <w:lang w:val="de-AT"/>
        </w:rPr>
        <w:t>.“ Loyalität ist ein verwandter Begriff</w:t>
      </w:r>
      <w:r w:rsidR="00980DAB">
        <w:rPr>
          <w:rFonts w:cs="Times New Roman"/>
          <w:szCs w:val="24"/>
          <w:lang w:val="de-AT"/>
        </w:rPr>
        <w:t>:</w:t>
      </w:r>
    </w:p>
    <w:p w14:paraId="76D39709" w14:textId="77777777" w:rsidR="00E17C7D" w:rsidRPr="006026DC" w:rsidRDefault="00E17C7D" w:rsidP="00E17C7D">
      <w:pPr>
        <w:rPr>
          <w:rFonts w:cs="Times New Roman"/>
          <w:szCs w:val="24"/>
          <w:lang w:val="de-AT"/>
        </w:rPr>
      </w:pPr>
    </w:p>
    <w:p w14:paraId="65679E4A" w14:textId="527B94F8" w:rsidR="00E17C7D" w:rsidRDefault="00E17C7D" w:rsidP="00E17C7D">
      <w:pPr>
        <w:ind w:left="567" w:right="567"/>
        <w:rPr>
          <w:rFonts w:cs="Times New Roman"/>
          <w:sz w:val="20"/>
          <w:lang w:val="de-AT"/>
        </w:rPr>
      </w:pPr>
      <w:r w:rsidRPr="006026DC">
        <w:rPr>
          <w:rFonts w:cs="Times New Roman"/>
          <w:sz w:val="20"/>
          <w:lang w:val="de-AT"/>
        </w:rPr>
        <w:t xml:space="preserve">Im Unterschied zur Treue steht bei der Loyalität […] nicht die gefühlsmäßig fundierte Bindung im Vordergrund, sondern es ist ein nüchternes </w:t>
      </w:r>
      <w:r w:rsidRPr="006026DC">
        <w:rPr>
          <w:rFonts w:cs="Times New Roman"/>
          <w:i/>
          <w:sz w:val="20"/>
          <w:lang w:val="de-AT"/>
        </w:rPr>
        <w:t>Vertrauen</w:t>
      </w:r>
      <w:r w:rsidRPr="006026DC">
        <w:rPr>
          <w:rFonts w:cs="Times New Roman"/>
          <w:sz w:val="20"/>
          <w:lang w:val="de-AT"/>
        </w:rPr>
        <w:t xml:space="preserve"> auf die gesinnungsmäßig unterstützte Geltung expliziter Vereinbarungen oder formell-rationaler Normen, das die Handlungsorientierung hier trägt und motiviert</w:t>
      </w:r>
      <w:r w:rsidRPr="006026DC">
        <w:rPr>
          <w:rStyle w:val="Funotenzeichen"/>
          <w:rFonts w:cs="Times New Roman"/>
          <w:sz w:val="20"/>
          <w:lang w:val="de-AT"/>
        </w:rPr>
        <w:footnoteReference w:id="17"/>
      </w:r>
      <w:r w:rsidRPr="006026DC">
        <w:rPr>
          <w:rFonts w:cs="Times New Roman"/>
          <w:sz w:val="20"/>
          <w:lang w:val="de-AT"/>
        </w:rPr>
        <w:t>.</w:t>
      </w:r>
    </w:p>
    <w:p w14:paraId="10C52971" w14:textId="77777777" w:rsidR="00E17C7D" w:rsidRPr="006026DC" w:rsidRDefault="00E17C7D" w:rsidP="00E17C7D">
      <w:pPr>
        <w:ind w:left="567" w:right="567"/>
        <w:rPr>
          <w:rFonts w:cs="Times New Roman"/>
          <w:sz w:val="20"/>
          <w:lang w:val="de-AT"/>
        </w:rPr>
      </w:pPr>
    </w:p>
    <w:p w14:paraId="53306375" w14:textId="77777777" w:rsidR="00E17C7D" w:rsidRDefault="00E17C7D" w:rsidP="00E17C7D">
      <w:pPr>
        <w:rPr>
          <w:rFonts w:cs="Times New Roman"/>
          <w:szCs w:val="24"/>
          <w:lang w:val="de-AT"/>
        </w:rPr>
      </w:pPr>
      <w:r w:rsidRPr="006026DC">
        <w:rPr>
          <w:rFonts w:cs="Times New Roman"/>
          <w:szCs w:val="24"/>
          <w:lang w:val="de-AT"/>
        </w:rPr>
        <w:t>Treue und Loyalität sind gleichermaßen in der im Eid manifestierten „Treuepflicht“ der Staatsbediensteten involviert, zumal bereits zu Zeiten der konstitutionellen Monarchie nicht nur ein personalisiertes Treueverhältnis zum Monarchen impliziert war, sondern zusätzlich die Beobachtung der Gesetze und der Verfassung. Dies wird umso relevanter wenn der Monarch als Adressat der personalisierten Treue wegfällt.</w:t>
      </w:r>
    </w:p>
    <w:p w14:paraId="2E561CF2" w14:textId="77777777" w:rsidR="00E17C7D" w:rsidRDefault="00E17C7D" w:rsidP="00E17C7D">
      <w:pPr>
        <w:rPr>
          <w:rFonts w:cs="Times New Roman"/>
          <w:szCs w:val="24"/>
          <w:lang w:val="de-AT"/>
        </w:rPr>
      </w:pPr>
    </w:p>
    <w:p w14:paraId="7E7DBCD9" w14:textId="77777777" w:rsidR="00E17C7D" w:rsidRDefault="00E17C7D" w:rsidP="00E17C7D">
      <w:pPr>
        <w:pStyle w:val="berschrift2"/>
        <w:ind w:firstLine="0"/>
        <w:jc w:val="left"/>
        <w:rPr>
          <w:lang w:val="de-AT"/>
        </w:rPr>
      </w:pPr>
      <w:r w:rsidRPr="006026DC">
        <w:rPr>
          <w:lang w:val="de-AT"/>
        </w:rPr>
        <w:t>Der Diensteid der Beamten</w:t>
      </w:r>
      <w:r>
        <w:rPr>
          <w:lang w:val="de-AT"/>
        </w:rPr>
        <w:t xml:space="preserve"> vor und nach 1918</w:t>
      </w:r>
    </w:p>
    <w:p w14:paraId="389CC613" w14:textId="77777777" w:rsidR="00E17C7D" w:rsidRPr="006026DC" w:rsidRDefault="00E17C7D" w:rsidP="00E17C7D">
      <w:pPr>
        <w:rPr>
          <w:rFonts w:cs="Times New Roman"/>
          <w:b/>
          <w:szCs w:val="24"/>
          <w:lang w:val="de-AT"/>
        </w:rPr>
      </w:pPr>
    </w:p>
    <w:p w14:paraId="38C2D65B" w14:textId="57B3A3FB" w:rsidR="00E17C7D" w:rsidRDefault="00E17C7D" w:rsidP="00E17C7D">
      <w:pPr>
        <w:ind w:left="567" w:right="567"/>
        <w:rPr>
          <w:rFonts w:cs="Times New Roman"/>
          <w:sz w:val="20"/>
          <w:lang w:val="de-AT"/>
        </w:rPr>
      </w:pPr>
      <w:r w:rsidRPr="006026DC">
        <w:rPr>
          <w:rFonts w:cs="Times New Roman"/>
          <w:sz w:val="20"/>
          <w:lang w:val="de-AT"/>
        </w:rPr>
        <w:t>Wie der Beamte aus dem Vasallen herausgewachsen ist, so wurzelt der Beamteneid im Vasalleneid des alten Lehnsstaates. Die älteste Form des Beamteneides ist der rein auf die Person des Landesherrn abgestellte Treueid. Der Beamte war zunächst nur der Diener des Fürsten, der ihn durch Eid sich gegenüber band. Der Treueid blieb auch als Bestandteil des Beamteneides, nachdem der Fürstendiener sich zum Staatsdiener gewandelt hatte</w:t>
      </w:r>
      <w:r w:rsidRPr="006026DC">
        <w:rPr>
          <w:rStyle w:val="Funotenzeichen"/>
          <w:rFonts w:cs="Times New Roman"/>
          <w:sz w:val="20"/>
          <w:lang w:val="de-AT"/>
        </w:rPr>
        <w:footnoteReference w:id="18"/>
      </w:r>
      <w:r w:rsidRPr="006026DC">
        <w:rPr>
          <w:rFonts w:cs="Times New Roman"/>
          <w:sz w:val="20"/>
          <w:lang w:val="de-AT"/>
        </w:rPr>
        <w:t>.</w:t>
      </w:r>
    </w:p>
    <w:p w14:paraId="6F49BC19" w14:textId="77777777" w:rsidR="00E17C7D" w:rsidRPr="006026DC" w:rsidRDefault="00E17C7D" w:rsidP="00E17C7D">
      <w:pPr>
        <w:ind w:left="567" w:right="567"/>
        <w:rPr>
          <w:rFonts w:cs="Times New Roman"/>
          <w:sz w:val="20"/>
          <w:lang w:val="de-AT"/>
        </w:rPr>
      </w:pPr>
    </w:p>
    <w:p w14:paraId="25A62EE9" w14:textId="77777777" w:rsidR="00E17C7D" w:rsidRDefault="00E17C7D" w:rsidP="00E17C7D">
      <w:pPr>
        <w:rPr>
          <w:rFonts w:cs="Times New Roman"/>
          <w:szCs w:val="24"/>
          <w:lang w:val="de-AT"/>
        </w:rPr>
      </w:pPr>
      <w:r>
        <w:rPr>
          <w:rFonts w:cs="Times New Roman"/>
          <w:szCs w:val="24"/>
          <w:lang w:val="de-AT"/>
        </w:rPr>
        <w:t xml:space="preserve">Ernst </w:t>
      </w:r>
      <w:r w:rsidRPr="006026DC">
        <w:rPr>
          <w:rFonts w:cs="Times New Roman"/>
          <w:szCs w:val="24"/>
          <w:lang w:val="de-AT"/>
        </w:rPr>
        <w:t>Friesenhahn beschreibt drei typische Teile des Beamteneids in der konstitutionellen Monarchie: Treueid, Amtseid und Beobachtung der Verfassung</w:t>
      </w:r>
      <w:r w:rsidRPr="006026DC">
        <w:rPr>
          <w:rStyle w:val="Funotenzeichen"/>
          <w:rFonts w:cs="Times New Roman"/>
          <w:lang w:val="de-AT"/>
        </w:rPr>
        <w:footnoteReference w:id="19"/>
      </w:r>
      <w:r w:rsidRPr="006026DC">
        <w:rPr>
          <w:rFonts w:cs="Times New Roman"/>
          <w:szCs w:val="24"/>
          <w:lang w:val="de-AT"/>
        </w:rPr>
        <w:t>. In den Eidesformeln, die im Habsburgerreich in den Jahren vor 1918 gebräuchlich waren</w:t>
      </w:r>
      <w:r w:rsidRPr="006026DC">
        <w:rPr>
          <w:rStyle w:val="Funotenzeichen"/>
          <w:rFonts w:cs="Times New Roman"/>
          <w:lang w:val="de-AT"/>
        </w:rPr>
        <w:footnoteReference w:id="20"/>
      </w:r>
      <w:r w:rsidRPr="006026DC">
        <w:rPr>
          <w:rFonts w:cs="Times New Roman"/>
          <w:szCs w:val="24"/>
          <w:lang w:val="de-AT"/>
        </w:rPr>
        <w:t xml:space="preserve">, war zusätzlich auch noch eine Erklärung inkludiert, dass die Person, die den Eid leistete, weder aktuell noch zukünftig einer ausländischen, politische Zwecke verfolgenden Organisation angehöre. Das Ende der Habsburgermonarchie erforderte eine Änderung der Eidesformel. Bereits Anfang November 1918, also vor der Ausrufung der Republik Deutschösterreich, legten hohe Beamte ein neues Gelöbnis auf den Staat Deutschösterreich ab, im Fall des Sektionschefs Josef Ritter von Mühlvenzl etwa folgendes: </w:t>
      </w:r>
    </w:p>
    <w:p w14:paraId="71678743" w14:textId="77777777" w:rsidR="00E17C7D" w:rsidRPr="006026DC" w:rsidRDefault="00E17C7D" w:rsidP="00E17C7D">
      <w:pPr>
        <w:rPr>
          <w:rFonts w:cs="Times New Roman"/>
          <w:szCs w:val="24"/>
          <w:lang w:val="de-AT"/>
        </w:rPr>
      </w:pPr>
    </w:p>
    <w:p w14:paraId="344FF1BA" w14:textId="15576C5C" w:rsidR="00E17C7D" w:rsidRDefault="00E17C7D" w:rsidP="00AC68C8">
      <w:pPr>
        <w:ind w:left="567" w:right="567"/>
        <w:rPr>
          <w:rFonts w:cs="Times New Roman"/>
          <w:sz w:val="20"/>
          <w:lang w:val="de-AT"/>
        </w:rPr>
      </w:pPr>
      <w:r w:rsidRPr="006026DC">
        <w:rPr>
          <w:rFonts w:cs="Times New Roman"/>
          <w:sz w:val="20"/>
          <w:lang w:val="de-AT"/>
        </w:rPr>
        <w:t>Im Namen des Staates Deutschösterreich!</w:t>
      </w:r>
      <w:r w:rsidR="00AC68C8">
        <w:rPr>
          <w:rFonts w:cs="Times New Roman"/>
          <w:sz w:val="20"/>
          <w:lang w:val="de-AT"/>
        </w:rPr>
        <w:t xml:space="preserve"> </w:t>
      </w:r>
      <w:r w:rsidRPr="006026DC">
        <w:rPr>
          <w:rFonts w:cs="Times New Roman"/>
          <w:sz w:val="20"/>
          <w:lang w:val="de-AT"/>
        </w:rPr>
        <w:t xml:space="preserve">Sie werden bei Ihrem Mannesworte und bei Ihrer staatsbürgerlichen Ehre geloben, als Diener des Staates Deutschösterreich Ihr gesamtes Wissen und Können, Ihre ganze Tat- und Geisteskraft dem Wohle Ihres deutschösterreichischen Vaterlandes vorbehaltlos und ohne Ansehung der Opfer hinzugeben und daß Sie, diesem Ihrem Vaterlande, den von der Nationalversammlung beschlossenen Grundgesetzen, Gesetzen sowie auf ihrer Grundlage erlassenen Vollzugsanweisungen des Staatsrates getreu – dessen Weisungen sowie die Anordnungen Ihrer vorgesetzten Behörden unverbrüchlich zu befolgen, uneigennützig und unparteiisch Ihres Amtes zu walten und bei jeder amtlichen Handlung das Wohl, die Ehre und das </w:t>
      </w:r>
      <w:r w:rsidRPr="006026DC">
        <w:rPr>
          <w:rFonts w:cs="Times New Roman"/>
          <w:sz w:val="20"/>
          <w:lang w:val="de-AT"/>
        </w:rPr>
        <w:lastRenderedPageBreak/>
        <w:t>Selbstbewußtsein des Bürgers zu achten gewillt sind.</w:t>
      </w:r>
      <w:r w:rsidR="00AC68C8">
        <w:rPr>
          <w:rFonts w:cs="Times New Roman"/>
          <w:sz w:val="20"/>
          <w:lang w:val="de-AT"/>
        </w:rPr>
        <w:t xml:space="preserve"> </w:t>
      </w:r>
      <w:r w:rsidRPr="006026DC">
        <w:rPr>
          <w:rFonts w:cs="Times New Roman"/>
          <w:sz w:val="20"/>
          <w:lang w:val="de-AT"/>
        </w:rPr>
        <w:t>Sie werden dieses Ihr eidesstättiges Gelöbnis mit Ihrem Handschlage bekräftigen</w:t>
      </w:r>
      <w:r w:rsidRPr="006026DC">
        <w:rPr>
          <w:rStyle w:val="Funotenzeichen"/>
          <w:rFonts w:cs="Times New Roman"/>
          <w:sz w:val="20"/>
          <w:lang w:val="de-AT"/>
        </w:rPr>
        <w:footnoteReference w:id="21"/>
      </w:r>
      <w:r w:rsidRPr="006026DC">
        <w:rPr>
          <w:rFonts w:cs="Times New Roman"/>
          <w:sz w:val="20"/>
          <w:lang w:val="de-AT"/>
        </w:rPr>
        <w:t>.</w:t>
      </w:r>
    </w:p>
    <w:p w14:paraId="7AC2018A" w14:textId="77777777" w:rsidR="00E17C7D" w:rsidRPr="006026DC" w:rsidRDefault="00E17C7D" w:rsidP="00E17C7D">
      <w:pPr>
        <w:ind w:left="567" w:right="567"/>
        <w:rPr>
          <w:rFonts w:cs="Times New Roman"/>
          <w:szCs w:val="24"/>
          <w:lang w:val="de-AT"/>
        </w:rPr>
      </w:pPr>
    </w:p>
    <w:p w14:paraId="79F9334D" w14:textId="77777777" w:rsidR="00E17C7D" w:rsidRDefault="00E17C7D" w:rsidP="00E17C7D">
      <w:pPr>
        <w:rPr>
          <w:rFonts w:cs="Times New Roman"/>
          <w:szCs w:val="24"/>
          <w:lang w:val="de-AT"/>
        </w:rPr>
      </w:pPr>
      <w:r w:rsidRPr="006026DC">
        <w:rPr>
          <w:rFonts w:cs="Times New Roman"/>
          <w:szCs w:val="24"/>
          <w:lang w:val="de-AT"/>
        </w:rPr>
        <w:t xml:space="preserve">Diese Gelöbnisformel mit </w:t>
      </w:r>
      <w:r>
        <w:rPr>
          <w:rFonts w:cs="Times New Roman"/>
          <w:szCs w:val="24"/>
          <w:lang w:val="de-AT"/>
        </w:rPr>
        <w:t xml:space="preserve">dem </w:t>
      </w:r>
      <w:r w:rsidRPr="006026DC">
        <w:rPr>
          <w:rFonts w:cs="Times New Roman"/>
          <w:szCs w:val="24"/>
          <w:lang w:val="de-AT"/>
        </w:rPr>
        <w:t xml:space="preserve">„Manneswort“ und </w:t>
      </w:r>
      <w:r>
        <w:rPr>
          <w:rFonts w:cs="Times New Roman"/>
          <w:szCs w:val="24"/>
          <w:lang w:val="de-AT"/>
        </w:rPr>
        <w:t xml:space="preserve">der </w:t>
      </w:r>
      <w:r w:rsidRPr="006026DC">
        <w:rPr>
          <w:rFonts w:cs="Times New Roman"/>
          <w:szCs w:val="24"/>
          <w:lang w:val="de-AT"/>
        </w:rPr>
        <w:t>„staatsbürgerlicher Ehre“ als Referenz dürfte allerdings ein Provisorium dargestellt haben, denn das Zwischenstaatsamtliche Komitee für Staatsbedienstetenangelegenheiten</w:t>
      </w:r>
      <w:r>
        <w:rPr>
          <w:rStyle w:val="Funotenzeichen"/>
          <w:rFonts w:cs="Times New Roman"/>
          <w:lang w:val="de-AT"/>
        </w:rPr>
        <w:footnoteReference w:id="22"/>
      </w:r>
      <w:r w:rsidRPr="006026DC">
        <w:rPr>
          <w:rFonts w:cs="Times New Roman"/>
          <w:szCs w:val="24"/>
          <w:lang w:val="de-AT"/>
        </w:rPr>
        <w:t xml:space="preserve"> bemerkte im Jänner 1919, dass es „dringend notwendig“ sei, die Eidesformel, die in der Dienstpragmatik von 1914</w:t>
      </w:r>
      <w:r w:rsidRPr="006026DC">
        <w:rPr>
          <w:rStyle w:val="Funotenzeichen"/>
          <w:rFonts w:cs="Times New Roman"/>
          <w:lang w:val="de-AT"/>
        </w:rPr>
        <w:footnoteReference w:id="23"/>
      </w:r>
      <w:r w:rsidRPr="006026DC">
        <w:rPr>
          <w:rFonts w:cs="Times New Roman"/>
          <w:szCs w:val="24"/>
          <w:lang w:val="de-AT"/>
        </w:rPr>
        <w:t xml:space="preserve"> (der gültigen dienstrechtlichen Grundlage für österreichische Staatsbedienstete) „den gegenwärtigen Verhältnissen entsprechend</w:t>
      </w:r>
      <w:r w:rsidRPr="006026DC">
        <w:rPr>
          <w:rStyle w:val="Funotenzeichen"/>
          <w:rFonts w:cs="Times New Roman"/>
          <w:lang w:val="de-AT"/>
        </w:rPr>
        <w:footnoteReference w:id="24"/>
      </w:r>
      <w:r w:rsidRPr="006026DC">
        <w:rPr>
          <w:rFonts w:cs="Times New Roman"/>
          <w:szCs w:val="24"/>
          <w:lang w:val="de-AT"/>
        </w:rPr>
        <w:t xml:space="preserve">“ zu ändern. Der Entwurf einer solchen Formel wurde vom Staatsamt des Inneren am 20. Februar 1919 präsentiert und lautete wie folgt: </w:t>
      </w:r>
    </w:p>
    <w:p w14:paraId="2BBD16AB" w14:textId="77777777" w:rsidR="00E17C7D" w:rsidRPr="006026DC" w:rsidRDefault="00E17C7D" w:rsidP="00E17C7D">
      <w:pPr>
        <w:rPr>
          <w:rFonts w:cs="Times New Roman"/>
          <w:szCs w:val="24"/>
          <w:lang w:val="de-AT"/>
        </w:rPr>
      </w:pPr>
    </w:p>
    <w:p w14:paraId="6831FCCB" w14:textId="55E4BF44" w:rsidR="00E17C7D" w:rsidRPr="006026DC" w:rsidRDefault="00E17C7D" w:rsidP="00E17C7D">
      <w:pPr>
        <w:ind w:left="567" w:right="567"/>
        <w:rPr>
          <w:rFonts w:cs="Times New Roman"/>
          <w:sz w:val="20"/>
          <w:lang w:val="de-AT"/>
        </w:rPr>
      </w:pPr>
      <w:r w:rsidRPr="006026DC">
        <w:rPr>
          <w:rFonts w:cs="Times New Roman"/>
          <w:sz w:val="20"/>
          <w:lang w:val="de-AT"/>
        </w:rPr>
        <w:t xml:space="preserve">Sie werden bei Ihrer Ehre und Ihrem Gewissen einen Eid schwören, dem deutschösterreichischen Staat treu und gehorsam zu sein und dessen Gesetze unverbrüchlich zu beobachten. </w:t>
      </w:r>
    </w:p>
    <w:p w14:paraId="60BBE045" w14:textId="77777777" w:rsidR="00E17C7D" w:rsidRPr="006026DC" w:rsidRDefault="00E17C7D" w:rsidP="00E17C7D">
      <w:pPr>
        <w:ind w:left="567" w:right="567"/>
        <w:rPr>
          <w:rFonts w:cs="Times New Roman"/>
          <w:sz w:val="20"/>
          <w:lang w:val="de-AT"/>
        </w:rPr>
      </w:pPr>
      <w:r w:rsidRPr="006026DC">
        <w:rPr>
          <w:rFonts w:cs="Times New Roman"/>
          <w:sz w:val="20"/>
          <w:lang w:val="de-AT"/>
        </w:rPr>
        <w:t xml:space="preserve">Sie werden ferner schwören, sich mit voller Kraft und allem Eifer dem Dienste zu widmen und in jeder Diensteigenschaft die Pflichten Ihres Amtes gewissenhaft, unparteiisch und uneigennützig zu erfüllen, jederzeit auf die Wahrung der öffentlichen Interessen bedacht zu sein, sowie alles zu vermeiden und nach Kräften hintanzuhalten, was diesen abträglich sein oder den geordneten Gang der Verwaltung beeinträchtigen könnte. Insbesondere werden Sie schwören, den dienstlichen Anordnungen Ihrer Vorgesetzten Gehorsam zu leisten, bei deren Durchführung die Ihnen anvertrauten Interessen des Dienstes nach bestem Wissen und Können wahrzunehmen, das Amtsgeheimnis treu zu bewahren und bei Ihrem Verhalten in und außer Dienst die Ihnen durch das Gesetz auferlegten Pflichten auf das genaueste zu beobachten. </w:t>
      </w:r>
    </w:p>
    <w:p w14:paraId="22979FD1" w14:textId="77777777" w:rsidR="00E17C7D" w:rsidRPr="006026DC" w:rsidRDefault="00E17C7D" w:rsidP="00E17C7D">
      <w:pPr>
        <w:ind w:left="567" w:right="567"/>
        <w:rPr>
          <w:rFonts w:cs="Times New Roman"/>
          <w:sz w:val="20"/>
          <w:lang w:val="de-AT"/>
        </w:rPr>
      </w:pPr>
      <w:r w:rsidRPr="006026DC">
        <w:rPr>
          <w:rFonts w:cs="Times New Roman"/>
          <w:sz w:val="20"/>
          <w:lang w:val="de-AT"/>
        </w:rPr>
        <w:t xml:space="preserve">Auch werden Sie schwören, daß Sie einer ausländischen, politische Zwecke verfolgenden Gesellschaft weder gegenwärtig angehören, noch einer solchen Gesellschaft in Zukunft angehören werden. </w:t>
      </w:r>
    </w:p>
    <w:p w14:paraId="2DDAEC38" w14:textId="438A763C" w:rsidR="00E17C7D" w:rsidRDefault="00E17C7D" w:rsidP="00E17C7D">
      <w:pPr>
        <w:ind w:left="567" w:right="567"/>
        <w:rPr>
          <w:rFonts w:cs="Times New Roman"/>
          <w:sz w:val="20"/>
          <w:lang w:val="de-AT"/>
        </w:rPr>
      </w:pPr>
      <w:r w:rsidRPr="006026DC">
        <w:rPr>
          <w:rFonts w:cs="Times New Roman"/>
          <w:sz w:val="20"/>
          <w:lang w:val="de-AT"/>
        </w:rPr>
        <w:t>Was mir soeben vorgehalten wurde und was ich in allem recht und deutlich verstanden habe, dem soll und will ich getreu nachkommen. Dies bekräftige ich durch meinen Eid</w:t>
      </w:r>
      <w:r w:rsidRPr="006026DC">
        <w:rPr>
          <w:rStyle w:val="Funotenzeichen"/>
          <w:rFonts w:cs="Times New Roman"/>
          <w:sz w:val="20"/>
          <w:lang w:val="de-AT"/>
        </w:rPr>
        <w:footnoteReference w:id="25"/>
      </w:r>
      <w:r w:rsidRPr="006026DC">
        <w:rPr>
          <w:rFonts w:cs="Times New Roman"/>
          <w:sz w:val="20"/>
          <w:lang w:val="de-AT"/>
        </w:rPr>
        <w:t>.</w:t>
      </w:r>
    </w:p>
    <w:p w14:paraId="101B6562" w14:textId="77777777" w:rsidR="00E17C7D" w:rsidRPr="006026DC" w:rsidRDefault="00E17C7D" w:rsidP="00E17C7D">
      <w:pPr>
        <w:ind w:left="567" w:right="567"/>
        <w:rPr>
          <w:rFonts w:cs="Times New Roman"/>
          <w:sz w:val="20"/>
          <w:lang w:val="de-AT"/>
        </w:rPr>
      </w:pPr>
    </w:p>
    <w:p w14:paraId="42A4EB46" w14:textId="09841271" w:rsidR="00E17C7D" w:rsidRDefault="00E17C7D" w:rsidP="00E17C7D">
      <w:pPr>
        <w:rPr>
          <w:rFonts w:cs="Times New Roman"/>
          <w:szCs w:val="24"/>
          <w:lang w:val="de-AT"/>
        </w:rPr>
      </w:pPr>
      <w:r w:rsidRPr="006026DC">
        <w:rPr>
          <w:rFonts w:cs="Times New Roman"/>
          <w:szCs w:val="24"/>
          <w:lang w:val="de-AT"/>
        </w:rPr>
        <w:t>Im Vergleich mit den Eidesformeln der Monarchie fällt auf, dass die Passage über die ausländischen, politische Zwecke verfolgenden Gesellschaften praktisch gleichlautend beibehalten wurde. Der Amtseid, also jener Teil, der sich auf die Pflichten der Staatsbediensteten bezieht, variierte bis 1918 entsprechend der Tätigkeit, erfuhr also nunmehr eine Vereinheitlichung</w:t>
      </w:r>
      <w:r w:rsidR="00AC68C8">
        <w:rPr>
          <w:rFonts w:cs="Times New Roman"/>
          <w:szCs w:val="24"/>
          <w:lang w:val="de-AT"/>
        </w:rPr>
        <w:t xml:space="preserve"> und Abstraktion</w:t>
      </w:r>
      <w:r w:rsidRPr="006026DC">
        <w:rPr>
          <w:rFonts w:cs="Times New Roman"/>
          <w:szCs w:val="24"/>
          <w:lang w:val="de-AT"/>
        </w:rPr>
        <w:t xml:space="preserve">. Wesentliche Unterschiede zeigen sich besonders im Treueid am Beginn der Formel, der bis 1918 persönlich auf den Monarchen bezogen war. Die höhere Instanz, die angerufen wurde, war damals Gott: </w:t>
      </w:r>
    </w:p>
    <w:p w14:paraId="060D0A1E" w14:textId="77777777" w:rsidR="00E17C7D" w:rsidRPr="006026DC" w:rsidRDefault="00E17C7D" w:rsidP="00E17C7D">
      <w:pPr>
        <w:rPr>
          <w:rFonts w:cs="Times New Roman"/>
          <w:szCs w:val="24"/>
          <w:lang w:val="de-AT"/>
        </w:rPr>
      </w:pPr>
    </w:p>
    <w:p w14:paraId="4BE2A87B" w14:textId="7A012953" w:rsidR="00E17C7D" w:rsidRDefault="00E17C7D" w:rsidP="00E17C7D">
      <w:pPr>
        <w:ind w:left="567" w:right="567"/>
        <w:rPr>
          <w:rFonts w:cs="Times New Roman"/>
          <w:sz w:val="20"/>
          <w:lang w:val="de-AT"/>
        </w:rPr>
      </w:pPr>
      <w:r w:rsidRPr="006026DC">
        <w:rPr>
          <w:rFonts w:cs="Times New Roman"/>
          <w:sz w:val="20"/>
          <w:lang w:val="de-AT"/>
        </w:rPr>
        <w:t xml:space="preserve">Sie werden einen Eid zu Gott dem Allmächtigen schwören und bei Ihrer Ehre und Treue geloben, Seiner Majestät dem Allerdurchlauchtigsten Fürsten und Herrn [Name] von Gottes Gnaden </w:t>
      </w:r>
      <w:r w:rsidRPr="006026DC">
        <w:rPr>
          <w:rFonts w:cs="Times New Roman"/>
          <w:sz w:val="20"/>
          <w:lang w:val="de-AT"/>
        </w:rPr>
        <w:lastRenderedPageBreak/>
        <w:t>Kaiser von Oesterreich […] und nach Allerhöchstdemselben den aus dessen Stamme und Geblüte nachfolgenden Erben unverbrüchlich treu und gehorsam zu sein, […]</w:t>
      </w:r>
      <w:r w:rsidRPr="006026DC">
        <w:rPr>
          <w:rStyle w:val="Funotenzeichen"/>
          <w:rFonts w:cs="Times New Roman"/>
          <w:sz w:val="20"/>
          <w:lang w:val="de-AT"/>
        </w:rPr>
        <w:footnoteReference w:id="26"/>
      </w:r>
    </w:p>
    <w:p w14:paraId="3D49C623" w14:textId="77777777" w:rsidR="00E17C7D" w:rsidRPr="006026DC" w:rsidRDefault="00E17C7D" w:rsidP="00E17C7D">
      <w:pPr>
        <w:ind w:left="567" w:right="567"/>
        <w:rPr>
          <w:rFonts w:cs="Times New Roman"/>
          <w:sz w:val="20"/>
          <w:lang w:val="de-AT"/>
        </w:rPr>
      </w:pPr>
    </w:p>
    <w:p w14:paraId="51665E89" w14:textId="39E22E14" w:rsidR="00E17C7D" w:rsidRDefault="00E17C7D" w:rsidP="00E17C7D">
      <w:pPr>
        <w:rPr>
          <w:rFonts w:cs="Times New Roman"/>
          <w:szCs w:val="24"/>
          <w:lang w:val="de-AT"/>
        </w:rPr>
      </w:pPr>
      <w:r w:rsidRPr="006026DC">
        <w:rPr>
          <w:rFonts w:cs="Times New Roman"/>
          <w:szCs w:val="24"/>
          <w:lang w:val="de-AT"/>
        </w:rPr>
        <w:t>Die Beamten der Republik schworen dagegen nunmehr „bei ihrer Ehre und ihrem Gewissen“ dem deutschösterreichischen Staat (später der Republik Österreich) Treue. In Deutschland verhielt sich die Situation etwas anders: Kaiser Wilhelm hatte abgedankt und die Beamten und Offiziere ihres Treueides entbunden. Der neue Treueid für Reichsbeamte lautete ab August 1919: „Ich schwöre Treue der Verfassung, Gehorsam den Gesetzen und gewissenhafte Erfüllung meiner Amtspflichten</w:t>
      </w:r>
      <w:r w:rsidRPr="006026DC">
        <w:rPr>
          <w:rStyle w:val="Funotenzeichen"/>
          <w:rFonts w:cs="Times New Roman"/>
          <w:lang w:val="de-AT"/>
        </w:rPr>
        <w:footnoteReference w:id="27"/>
      </w:r>
      <w:r w:rsidRPr="006026DC">
        <w:rPr>
          <w:rFonts w:cs="Times New Roman"/>
          <w:szCs w:val="24"/>
          <w:lang w:val="de-AT"/>
        </w:rPr>
        <w:t>.“ Die Neuregelung des Eides führte in der Weimarer Republik zu mehrere Jahre dauernden Auseinandersetzungen in Politik und Wissenschaft, es wird auch von einigen Beamten berichtet, die einen Treueid auf die Verfassung prinzipiell nicht leisten wollten, sei es aus politischen Gründen, sei es, weil sie der Ansicht waren, man könne einem Gesetz nicht wie einer Person Treue schwören</w:t>
      </w:r>
      <w:r w:rsidRPr="006026DC">
        <w:rPr>
          <w:rStyle w:val="Funotenzeichen"/>
          <w:rFonts w:cs="Times New Roman"/>
          <w:lang w:val="de-AT"/>
        </w:rPr>
        <w:footnoteReference w:id="28"/>
      </w:r>
      <w:r w:rsidR="00AC68C8">
        <w:rPr>
          <w:rFonts w:cs="Times New Roman"/>
          <w:szCs w:val="24"/>
          <w:lang w:val="de-AT"/>
        </w:rPr>
        <w:t>. Derartige</w:t>
      </w:r>
      <w:r w:rsidRPr="006026DC">
        <w:rPr>
          <w:rFonts w:cs="Times New Roman"/>
          <w:szCs w:val="24"/>
          <w:lang w:val="de-AT"/>
        </w:rPr>
        <w:t xml:space="preserve"> Diskussionen gab es in Österreich nicht. In seinem Kommentar zur österreichischen Verfassung von 1920 schrieb Hans Kelsen</w:t>
      </w:r>
      <w:r>
        <w:rPr>
          <w:rFonts w:cs="Times New Roman"/>
          <w:szCs w:val="24"/>
          <w:lang w:val="de-AT"/>
        </w:rPr>
        <w:t>:</w:t>
      </w:r>
    </w:p>
    <w:p w14:paraId="5243111E" w14:textId="77777777" w:rsidR="00E17C7D" w:rsidRPr="006026DC" w:rsidRDefault="00E17C7D" w:rsidP="00E17C7D">
      <w:pPr>
        <w:rPr>
          <w:rFonts w:cs="Times New Roman"/>
          <w:szCs w:val="24"/>
          <w:lang w:val="de-AT"/>
        </w:rPr>
      </w:pPr>
    </w:p>
    <w:p w14:paraId="5F457E2A" w14:textId="2FF6BCE3" w:rsidR="00E17C7D" w:rsidRDefault="00E17C7D" w:rsidP="00E17C7D">
      <w:pPr>
        <w:ind w:left="567" w:right="567"/>
        <w:rPr>
          <w:rFonts w:cs="Times New Roman"/>
          <w:sz w:val="20"/>
          <w:lang w:val="de-AT"/>
        </w:rPr>
      </w:pPr>
      <w:r w:rsidRPr="006026DC">
        <w:rPr>
          <w:rFonts w:cs="Times New Roman"/>
          <w:sz w:val="20"/>
          <w:lang w:val="de-AT"/>
        </w:rPr>
        <w:t xml:space="preserve">Nach den Bestimmungen der ‚Dienstpragmatik‘ ist für die dieser unterliegenden Staatsbeamten beim Eintritt in das definitive Staatsdienstverhältnis ein ‚Diensteid‘ – worunter ein religiöser Eid verstanden ist […] Die diesbezüglichen Bestimmungen der Dienstpragmatik beruhen auf Art. 13 des Staatsgrundgesetzes über die Regierungs- und Vollzugsgewalt vom 21. Dezember 1867, R.G.Bl. Nr. 145, demzufolge </w:t>
      </w:r>
      <w:r w:rsidR="00E325E9">
        <w:rPr>
          <w:rFonts w:cs="Times New Roman"/>
          <w:sz w:val="20"/>
          <w:lang w:val="de-AT"/>
        </w:rPr>
        <w:t>„</w:t>
      </w:r>
      <w:r w:rsidRPr="006026DC">
        <w:rPr>
          <w:rFonts w:cs="Times New Roman"/>
          <w:sz w:val="20"/>
          <w:lang w:val="de-AT"/>
        </w:rPr>
        <w:t>alle Organe der Staatsverwaltung in ihrem Diensteid auch die unverbrüchliche Beobachtung der Staatsgrundgesetze zu beschwören</w:t>
      </w:r>
      <w:r w:rsidR="00E325E9">
        <w:rPr>
          <w:rFonts w:cs="Times New Roman"/>
          <w:sz w:val="20"/>
          <w:lang w:val="de-AT"/>
        </w:rPr>
        <w:t>“</w:t>
      </w:r>
      <w:r w:rsidRPr="006026DC">
        <w:rPr>
          <w:rFonts w:cs="Times New Roman"/>
          <w:sz w:val="20"/>
          <w:lang w:val="de-AT"/>
        </w:rPr>
        <w:t xml:space="preserve"> hatten. Dieses Staatsgrundgesetz ist jedoch zweifellos nicht mehr Bestandteil unserer Rechtsordnung. Demgemäß hat auch die Praxis, trotzdem die Bestimmungen der Dienstpragmatik bisher nicht abgeändert wurden, an die Stelle des Eides die einfache Pflichtenangelobung gesetzt</w:t>
      </w:r>
      <w:r w:rsidRPr="006026DC">
        <w:rPr>
          <w:rStyle w:val="Funotenzeichen"/>
          <w:rFonts w:cs="Times New Roman"/>
          <w:sz w:val="20"/>
          <w:lang w:val="de-AT"/>
        </w:rPr>
        <w:footnoteReference w:id="29"/>
      </w:r>
      <w:r w:rsidRPr="006026DC">
        <w:rPr>
          <w:rFonts w:cs="Times New Roman"/>
          <w:sz w:val="20"/>
          <w:lang w:val="de-AT"/>
        </w:rPr>
        <w:t>.</w:t>
      </w:r>
    </w:p>
    <w:p w14:paraId="4F05DAF3" w14:textId="77777777" w:rsidR="00E17C7D" w:rsidRPr="006026DC" w:rsidRDefault="00E17C7D" w:rsidP="00E17C7D">
      <w:pPr>
        <w:ind w:left="567" w:right="567"/>
        <w:rPr>
          <w:rFonts w:cs="Times New Roman"/>
          <w:sz w:val="20"/>
          <w:lang w:val="de-AT"/>
        </w:rPr>
      </w:pPr>
    </w:p>
    <w:p w14:paraId="08060DA4" w14:textId="2D0ECB0A" w:rsidR="00E17C7D" w:rsidRDefault="00E17C7D" w:rsidP="00E17C7D">
      <w:pPr>
        <w:rPr>
          <w:rFonts w:cs="Times New Roman"/>
          <w:szCs w:val="24"/>
          <w:lang w:val="de-AT"/>
        </w:rPr>
      </w:pPr>
      <w:r w:rsidRPr="006026DC">
        <w:rPr>
          <w:rFonts w:cs="Times New Roman"/>
          <w:szCs w:val="24"/>
          <w:lang w:val="de-AT"/>
        </w:rPr>
        <w:t xml:space="preserve">Daraus geht hervor, dass der Eid der Beamten </w:t>
      </w:r>
      <w:r>
        <w:rPr>
          <w:rFonts w:cs="Times New Roman"/>
          <w:szCs w:val="24"/>
          <w:lang w:val="de-AT"/>
        </w:rPr>
        <w:t xml:space="preserve">Kelsen zufolge </w:t>
      </w:r>
      <w:r w:rsidRPr="006026DC">
        <w:rPr>
          <w:rFonts w:cs="Times New Roman"/>
          <w:szCs w:val="24"/>
          <w:lang w:val="de-AT"/>
        </w:rPr>
        <w:t>eigentlich kein solcher mehr war, sondern nur noch ein Gelöbnis bzw. eine Angelobung. Dieser Ansicht ist auch Ernst Friesenhahn, der dazu anmerkt</w:t>
      </w:r>
      <w:r>
        <w:rPr>
          <w:rFonts w:cs="Times New Roman"/>
          <w:szCs w:val="24"/>
          <w:lang w:val="de-AT"/>
        </w:rPr>
        <w:t>:</w:t>
      </w:r>
    </w:p>
    <w:p w14:paraId="0A7E824D" w14:textId="77777777" w:rsidR="00E17C7D" w:rsidRPr="006026DC" w:rsidRDefault="00E17C7D" w:rsidP="00E17C7D">
      <w:pPr>
        <w:rPr>
          <w:rFonts w:cs="Times New Roman"/>
          <w:szCs w:val="24"/>
          <w:lang w:val="de-AT"/>
        </w:rPr>
      </w:pPr>
    </w:p>
    <w:p w14:paraId="6B461422" w14:textId="057EE52D" w:rsidR="00E17C7D" w:rsidRDefault="00E17C7D" w:rsidP="00E17C7D">
      <w:pPr>
        <w:ind w:left="567" w:right="567"/>
        <w:rPr>
          <w:rFonts w:cs="Times New Roman"/>
          <w:sz w:val="20"/>
          <w:lang w:val="de-AT"/>
        </w:rPr>
      </w:pPr>
      <w:r w:rsidRPr="006026DC">
        <w:rPr>
          <w:rFonts w:cs="Times New Roman"/>
          <w:sz w:val="20"/>
          <w:lang w:val="de-AT"/>
        </w:rPr>
        <w:t>Österreich sieht in seiner Verfassung nur die Angelobung der Mitglieder der Bundes- und Landesregierungen vor […], doch scheint aus der reichlich unklaren Anmerkung Kelsens zu Art. 62 der Verfassung hervorzugehen, daß sämtliche Bundesbeamte eine Angelobung auf die Bundesverfassung leisten müssen</w:t>
      </w:r>
      <w:r w:rsidRPr="006026DC">
        <w:rPr>
          <w:rStyle w:val="Funotenzeichen"/>
          <w:rFonts w:cs="Times New Roman"/>
          <w:sz w:val="20"/>
          <w:lang w:val="de-AT"/>
        </w:rPr>
        <w:footnoteReference w:id="30"/>
      </w:r>
      <w:r w:rsidRPr="006026DC">
        <w:rPr>
          <w:rFonts w:cs="Times New Roman"/>
          <w:sz w:val="20"/>
          <w:lang w:val="de-AT"/>
        </w:rPr>
        <w:t xml:space="preserve">. </w:t>
      </w:r>
    </w:p>
    <w:p w14:paraId="2B8FF75B" w14:textId="77777777" w:rsidR="00E17C7D" w:rsidRPr="006026DC" w:rsidRDefault="00E17C7D" w:rsidP="00E17C7D">
      <w:pPr>
        <w:ind w:left="567" w:right="567"/>
        <w:rPr>
          <w:rFonts w:cs="Times New Roman"/>
          <w:sz w:val="20"/>
          <w:lang w:val="de-AT"/>
        </w:rPr>
      </w:pPr>
    </w:p>
    <w:p w14:paraId="7A7F4818" w14:textId="77777777" w:rsidR="00E17C7D" w:rsidRDefault="00E17C7D" w:rsidP="00E17C7D">
      <w:pPr>
        <w:rPr>
          <w:rFonts w:cs="Times New Roman"/>
          <w:szCs w:val="24"/>
          <w:lang w:val="de-AT"/>
        </w:rPr>
      </w:pPr>
      <w:r w:rsidRPr="006026DC">
        <w:rPr>
          <w:rFonts w:cs="Times New Roman"/>
          <w:szCs w:val="24"/>
          <w:lang w:val="de-AT"/>
        </w:rPr>
        <w:t>Diese Verschiebung äußert sich auch dadurch, dass die Referenz auf Gott im Eid der Republik nicht mehr vorkommt, vielmehr wird bei „Ehre“ und „Gewissen“ geschworen. Hier wird eine Tendenz der Säkularisierung und „Entsakralisierung der Politik</w:t>
      </w:r>
      <w:r w:rsidRPr="006026DC">
        <w:rPr>
          <w:rStyle w:val="Funotenzeichen"/>
          <w:rFonts w:cs="Times New Roman"/>
          <w:lang w:val="de-AT"/>
        </w:rPr>
        <w:footnoteReference w:id="31"/>
      </w:r>
      <w:r w:rsidRPr="006026DC">
        <w:rPr>
          <w:rFonts w:cs="Times New Roman"/>
          <w:szCs w:val="24"/>
          <w:lang w:val="de-AT"/>
        </w:rPr>
        <w:t>“ explizit, ein Prozess, der allerdings wie Paolo Prodi darlegt, schon viel früher eingesetzt hat. Die Referenz auf „Gott den Allmächtigen“ wurde</w:t>
      </w:r>
      <w:r>
        <w:rPr>
          <w:rFonts w:cs="Times New Roman"/>
          <w:szCs w:val="24"/>
          <w:lang w:val="de-AT"/>
        </w:rPr>
        <w:t xml:space="preserve"> in Österreich </w:t>
      </w:r>
      <w:r w:rsidRPr="006026DC">
        <w:rPr>
          <w:rFonts w:cs="Times New Roman"/>
          <w:szCs w:val="24"/>
          <w:lang w:val="de-AT"/>
        </w:rPr>
        <w:t xml:space="preserve">1933 wieder in den Diensteid </w:t>
      </w:r>
      <w:r w:rsidRPr="006026DC">
        <w:rPr>
          <w:rFonts w:cs="Times New Roman"/>
          <w:szCs w:val="24"/>
          <w:lang w:val="de-AT"/>
        </w:rPr>
        <w:lastRenderedPageBreak/>
        <w:t>hineingenommen, zusätzlich musste auch dem Präsidenten und der Bundesregierung Treue geschworen werden</w:t>
      </w:r>
      <w:r w:rsidRPr="006026DC">
        <w:rPr>
          <w:rStyle w:val="Funotenzeichen"/>
          <w:rFonts w:cs="Times New Roman"/>
          <w:lang w:val="de-AT"/>
        </w:rPr>
        <w:footnoteReference w:id="32"/>
      </w:r>
      <w:r w:rsidRPr="006026DC">
        <w:rPr>
          <w:rFonts w:cs="Times New Roman"/>
          <w:szCs w:val="24"/>
          <w:lang w:val="de-AT"/>
        </w:rPr>
        <w:t>.</w:t>
      </w:r>
    </w:p>
    <w:p w14:paraId="7FC21213" w14:textId="77777777" w:rsidR="00E17C7D" w:rsidRPr="006026DC" w:rsidRDefault="00E17C7D" w:rsidP="00E17C7D">
      <w:pPr>
        <w:rPr>
          <w:rFonts w:cs="Times New Roman"/>
          <w:szCs w:val="24"/>
          <w:lang w:val="de-AT"/>
        </w:rPr>
      </w:pPr>
    </w:p>
    <w:p w14:paraId="0BF10CB9" w14:textId="533C6859" w:rsidR="00E17C7D" w:rsidRPr="006026DC" w:rsidRDefault="00E17C7D" w:rsidP="00E17C7D">
      <w:pPr>
        <w:pStyle w:val="berschrift2"/>
        <w:ind w:firstLine="0"/>
        <w:jc w:val="left"/>
        <w:rPr>
          <w:lang w:val="de-AT"/>
        </w:rPr>
      </w:pPr>
      <w:r w:rsidRPr="006026DC">
        <w:rPr>
          <w:lang w:val="de-AT"/>
        </w:rPr>
        <w:t>Staatsbedienstetenangelegenheiten nach dem Ende der Monarchie</w:t>
      </w:r>
    </w:p>
    <w:p w14:paraId="6350287B" w14:textId="77777777" w:rsidR="00E17C7D" w:rsidRDefault="00E17C7D" w:rsidP="00E17C7D">
      <w:pPr>
        <w:rPr>
          <w:rFonts w:cs="Times New Roman"/>
          <w:szCs w:val="24"/>
          <w:lang w:val="de-AT"/>
        </w:rPr>
      </w:pPr>
      <w:r w:rsidRPr="006026DC">
        <w:rPr>
          <w:rFonts w:cs="Times New Roman"/>
          <w:szCs w:val="24"/>
          <w:lang w:val="de-AT"/>
        </w:rPr>
        <w:t>Kaiser Karl I. leistete am 11. November 1918 eine Verzichtserklärung hinsichtlich seiner persönlichen Teilnahme an den Regierungsgeschäften. Anders als der deutsche Kaiser Wilhelm hat er nicht abgedankt und die Beamten und Offiziere nicht ihres Treueids entbunden</w:t>
      </w:r>
      <w:r w:rsidRPr="006026DC">
        <w:rPr>
          <w:rStyle w:val="Funotenzeichen"/>
          <w:rFonts w:cs="Times New Roman"/>
          <w:lang w:val="de-AT"/>
        </w:rPr>
        <w:footnoteReference w:id="33"/>
      </w:r>
      <w:r w:rsidRPr="006026DC">
        <w:rPr>
          <w:rFonts w:cs="Times New Roman"/>
          <w:szCs w:val="24"/>
          <w:lang w:val="de-AT"/>
        </w:rPr>
        <w:t>. Das besorgte der Staatsrat im einen Tag später beschlossenen „Gesetz über die Staats- und Regierungsform von Deutsch-Österreich</w:t>
      </w:r>
      <w:r w:rsidRPr="006026DC">
        <w:rPr>
          <w:rStyle w:val="Funotenzeichen"/>
          <w:rFonts w:cs="Times New Roman"/>
          <w:lang w:val="de-AT"/>
        </w:rPr>
        <w:footnoteReference w:id="34"/>
      </w:r>
      <w:r w:rsidRPr="006026DC">
        <w:rPr>
          <w:rFonts w:cs="Times New Roman"/>
          <w:szCs w:val="24"/>
          <w:lang w:val="de-AT"/>
        </w:rPr>
        <w:t>“. Es gab zwar einige wenige Beamte, die aus Treue zum Kaiser ihr Amt zurücklegten oder ihr Pensionsgesuch einreichten</w:t>
      </w:r>
      <w:r w:rsidRPr="006026DC">
        <w:rPr>
          <w:rStyle w:val="Funotenzeichen"/>
          <w:rFonts w:cs="Times New Roman"/>
          <w:lang w:val="de-AT"/>
        </w:rPr>
        <w:footnoteReference w:id="35"/>
      </w:r>
      <w:r w:rsidRPr="006026DC">
        <w:rPr>
          <w:rFonts w:cs="Times New Roman"/>
          <w:szCs w:val="24"/>
          <w:lang w:val="de-AT"/>
        </w:rPr>
        <w:t>. Grundsätzlich aber wurden alle Staatsbediensteten der Monarchie in den Dienst der Republik übernommen, wiewohl sie darauf keinen Rechtsanspruch hatten</w:t>
      </w:r>
      <w:r w:rsidRPr="006026DC">
        <w:rPr>
          <w:rStyle w:val="Funotenzeichen"/>
          <w:rFonts w:cs="Times New Roman"/>
          <w:lang w:val="de-AT"/>
        </w:rPr>
        <w:footnoteReference w:id="36"/>
      </w:r>
      <w:r w:rsidRPr="006026DC">
        <w:rPr>
          <w:rFonts w:cs="Times New Roman"/>
          <w:szCs w:val="24"/>
          <w:lang w:val="de-AT"/>
        </w:rPr>
        <w:t xml:space="preserve">. </w:t>
      </w:r>
    </w:p>
    <w:p w14:paraId="0EE4802D" w14:textId="77777777" w:rsidR="00E17C7D" w:rsidRPr="006026DC" w:rsidRDefault="00E17C7D" w:rsidP="00E17C7D">
      <w:pPr>
        <w:rPr>
          <w:rFonts w:cs="Times New Roman"/>
          <w:szCs w:val="24"/>
          <w:lang w:val="de-AT"/>
        </w:rPr>
      </w:pPr>
    </w:p>
    <w:p w14:paraId="152DD8FE" w14:textId="702AA119" w:rsidR="00E17C7D" w:rsidRDefault="00E17C7D" w:rsidP="00E17C7D">
      <w:pPr>
        <w:rPr>
          <w:rFonts w:cs="Times New Roman"/>
          <w:szCs w:val="24"/>
          <w:lang w:val="de-AT"/>
        </w:rPr>
      </w:pPr>
      <w:r w:rsidRPr="006026DC">
        <w:rPr>
          <w:rFonts w:cs="Times New Roman"/>
          <w:szCs w:val="24"/>
          <w:lang w:val="de-AT"/>
        </w:rPr>
        <w:t>Schon am 23. November 1918 hatte der Kabinettsrat „Richtlinien für die vorläufige Behandlung einiger Staatsbedienstetenfragen“ beschlossen. Darin wurde eingangs das Gelöbnis auf den neuen Staat, das nur Beamte deutscher Nation ablegen durften, angesprochen. Wer den Eid nicht leistete, wurde unter Einstellung der Bezüge des Dienstes enthoben. Vereidigte Beamte wurden in den Dienst der Republik übernommen, wobei das Dienstverhältnis noch nicht endgültig geregelt war. Bedienstete ab dem 60. Lebensjahr waren zu pensionieren, sofern es die dienstlichen Verhältnisse erlaubten. Die Zahl der Bediensteten sei zu reduzieren und Neuaufnahmen seien nicht zulässig. Staatsbedienstete deutscher Nationalität in den neuen Nationalstaaten, die ihre Stellen verlassen müss</w:t>
      </w:r>
      <w:r w:rsidR="00951B51">
        <w:rPr>
          <w:rFonts w:cs="Times New Roman"/>
          <w:szCs w:val="24"/>
          <w:lang w:val="de-AT"/>
        </w:rPr>
        <w:t>t</w:t>
      </w:r>
      <w:r w:rsidRPr="006026DC">
        <w:rPr>
          <w:rFonts w:cs="Times New Roman"/>
          <w:szCs w:val="24"/>
          <w:lang w:val="de-AT"/>
        </w:rPr>
        <w:t>en, seien in den deutschösterreichischen Dienst zu übernehmen. Sie sollten ausgeschiedene (nunmehr) fremdnationale Bedienstete ersetzen. Diese seien zu entheben oder in vorläufiger Verwendung ohne Anspruch auf Weiterbeschäftigung zu behalten. Die Aufteilung des Pensionsaufwandes sollte durch zwischenstaatliche Vereinbarungen mit den Nachfolgestaaten geregelt werden</w:t>
      </w:r>
      <w:r w:rsidRPr="006026DC">
        <w:rPr>
          <w:rStyle w:val="Funotenzeichen"/>
          <w:rFonts w:cs="Times New Roman"/>
          <w:lang w:val="de-AT"/>
        </w:rPr>
        <w:footnoteReference w:id="37"/>
      </w:r>
      <w:r w:rsidRPr="006026DC">
        <w:rPr>
          <w:rFonts w:cs="Times New Roman"/>
          <w:szCs w:val="24"/>
          <w:lang w:val="de-AT"/>
        </w:rPr>
        <w:t>.</w:t>
      </w:r>
    </w:p>
    <w:p w14:paraId="6F160394" w14:textId="77777777" w:rsidR="00E17C7D" w:rsidRPr="006026DC" w:rsidRDefault="00E17C7D" w:rsidP="00E17C7D">
      <w:pPr>
        <w:rPr>
          <w:rFonts w:cs="Times New Roman"/>
          <w:szCs w:val="24"/>
          <w:lang w:val="de-AT"/>
        </w:rPr>
      </w:pPr>
    </w:p>
    <w:p w14:paraId="1AEA47BE" w14:textId="77777777" w:rsidR="00E17C7D" w:rsidRDefault="00E17C7D" w:rsidP="00E17C7D">
      <w:pPr>
        <w:rPr>
          <w:rFonts w:cs="Times New Roman"/>
          <w:szCs w:val="24"/>
          <w:lang w:val="de-AT"/>
        </w:rPr>
      </w:pPr>
      <w:r w:rsidRPr="006026DC">
        <w:rPr>
          <w:rFonts w:cs="Times New Roman"/>
          <w:szCs w:val="24"/>
          <w:lang w:val="de-AT"/>
        </w:rPr>
        <w:t xml:space="preserve">Für die Behandlung aller Staatsbedienstetenfragen der neuen Republik wurde im November 1918 ein zwischenstaatsamtliches Komitee für Staatsbedienstetenangelegenheiten </w:t>
      </w:r>
      <w:r w:rsidRPr="006026DC">
        <w:rPr>
          <w:rFonts w:cs="Times New Roman"/>
          <w:szCs w:val="24"/>
          <w:lang w:val="de-AT"/>
        </w:rPr>
        <w:lastRenderedPageBreak/>
        <w:t xml:space="preserve">eingerichtet. </w:t>
      </w:r>
      <w:r>
        <w:rPr>
          <w:rFonts w:cs="Times New Roman"/>
          <w:szCs w:val="24"/>
          <w:lang w:val="de-AT"/>
        </w:rPr>
        <w:t xml:space="preserve">Hochrangige </w:t>
      </w:r>
      <w:r w:rsidRPr="006026DC">
        <w:rPr>
          <w:rFonts w:cs="Times New Roman"/>
          <w:szCs w:val="24"/>
          <w:lang w:val="de-AT"/>
        </w:rPr>
        <w:t>Beamte der Staatsämter für Finanzen, Inneres, Justiz</w:t>
      </w:r>
      <w:r>
        <w:rPr>
          <w:rFonts w:cs="Times New Roman"/>
          <w:szCs w:val="24"/>
          <w:lang w:val="de-AT"/>
        </w:rPr>
        <w:t>, Handel und Unterricht bildeten das Personal</w:t>
      </w:r>
      <w:r w:rsidRPr="006026DC">
        <w:rPr>
          <w:rFonts w:cs="Times New Roman"/>
          <w:szCs w:val="24"/>
          <w:lang w:val="de-AT"/>
        </w:rPr>
        <w:t xml:space="preserve"> diese</w:t>
      </w:r>
      <w:r>
        <w:rPr>
          <w:rFonts w:cs="Times New Roman"/>
          <w:szCs w:val="24"/>
          <w:lang w:val="de-AT"/>
        </w:rPr>
        <w:t>r</w:t>
      </w:r>
      <w:r w:rsidRPr="006026DC">
        <w:rPr>
          <w:rFonts w:cs="Times New Roman"/>
          <w:szCs w:val="24"/>
          <w:lang w:val="de-AT"/>
        </w:rPr>
        <w:t xml:space="preserve"> Geschäftsstelle, deren Aufgabe es war, Antworten auf Fragen und Lösungen für Probleme der deutschösterreichischen Beamten und Verwaltung zu finden und im Wege der Staatskanzlei dem Kabinettsrat zu übermitteln</w:t>
      </w:r>
      <w:r w:rsidRPr="006026DC">
        <w:rPr>
          <w:rStyle w:val="Funotenzeichen"/>
          <w:rFonts w:cs="Times New Roman"/>
          <w:lang w:val="de-AT"/>
        </w:rPr>
        <w:footnoteReference w:id="38"/>
      </w:r>
      <w:r w:rsidRPr="006026DC">
        <w:rPr>
          <w:rFonts w:cs="Times New Roman"/>
          <w:szCs w:val="24"/>
          <w:lang w:val="de-AT"/>
        </w:rPr>
        <w:t>. Zur Frage, wer als Beamter „deutscher Nationalität“ gelten sollte, meinte das Komitee:</w:t>
      </w:r>
    </w:p>
    <w:p w14:paraId="3A943EAD" w14:textId="77777777" w:rsidR="00E17C7D" w:rsidRPr="006026DC" w:rsidRDefault="00E17C7D" w:rsidP="00E17C7D">
      <w:pPr>
        <w:rPr>
          <w:rFonts w:cs="Times New Roman"/>
          <w:szCs w:val="24"/>
          <w:lang w:val="de-AT"/>
        </w:rPr>
      </w:pPr>
    </w:p>
    <w:p w14:paraId="28CEF1BB" w14:textId="139DA822" w:rsidR="00E17C7D" w:rsidRDefault="00E17C7D" w:rsidP="00E17C7D">
      <w:pPr>
        <w:ind w:left="567" w:right="567"/>
        <w:rPr>
          <w:rFonts w:cs="Times New Roman"/>
          <w:sz w:val="20"/>
          <w:lang w:val="de-AT"/>
        </w:rPr>
      </w:pPr>
      <w:r w:rsidRPr="006026DC">
        <w:rPr>
          <w:rFonts w:cs="Times New Roman"/>
          <w:sz w:val="20"/>
          <w:lang w:val="de-AT"/>
        </w:rPr>
        <w:t>Die Frage, ob ein Bediensteter deutscher Nationalität und ob ihm daher das Gelöbnis abzuverlangen sei, ist nach gewissenhaftester Prüfung der maßgebenden Umstände zu beantworten. Hierbei kämen insbesondere in Betracht: Umgangssprache nach der Volkszählung von 1910, Muttersprache, Sprache, in welcher die Schulbildung genossen wurde, nationale Zugehörigkeit der Eltern, soziale Betätigung (Zugehörigkeit zu Vereinen, politisches Verhalten etc.). Auch dem eigenen Bekenntnisse ist eine gewisse Bedeutung beizumessen.</w:t>
      </w:r>
      <w:r w:rsidRPr="006026DC">
        <w:rPr>
          <w:rStyle w:val="Funotenzeichen"/>
          <w:rFonts w:cs="Times New Roman"/>
          <w:sz w:val="20"/>
          <w:lang w:val="de-AT"/>
        </w:rPr>
        <w:footnoteReference w:id="39"/>
      </w:r>
    </w:p>
    <w:p w14:paraId="64353AB4" w14:textId="77777777" w:rsidR="00E17C7D" w:rsidRPr="006026DC" w:rsidRDefault="00E17C7D" w:rsidP="00E17C7D">
      <w:pPr>
        <w:ind w:left="567" w:right="567"/>
        <w:rPr>
          <w:rFonts w:cs="Times New Roman"/>
          <w:sz w:val="20"/>
          <w:lang w:val="de-AT"/>
        </w:rPr>
      </w:pPr>
    </w:p>
    <w:p w14:paraId="261C6522" w14:textId="2247ECEE" w:rsidR="00E17C7D" w:rsidRPr="006026DC" w:rsidRDefault="00E17C7D" w:rsidP="00E17C7D">
      <w:pPr>
        <w:rPr>
          <w:rFonts w:cs="Times New Roman"/>
          <w:szCs w:val="24"/>
          <w:lang w:val="de-AT"/>
        </w:rPr>
      </w:pPr>
      <w:r w:rsidRPr="006026DC">
        <w:rPr>
          <w:rFonts w:cs="Times New Roman"/>
          <w:szCs w:val="24"/>
          <w:lang w:val="de-AT"/>
        </w:rPr>
        <w:t>Im Detail war oft schwer zu entscheiden, welcher Nationalität ein Staatsbediensteter war</w:t>
      </w:r>
      <w:r w:rsidRPr="006026DC">
        <w:rPr>
          <w:rStyle w:val="Funotenzeichen"/>
          <w:rFonts w:cs="Times New Roman"/>
          <w:lang w:val="de-AT"/>
        </w:rPr>
        <w:footnoteReference w:id="40"/>
      </w:r>
      <w:r w:rsidR="00951B51">
        <w:rPr>
          <w:rFonts w:cs="Times New Roman"/>
          <w:szCs w:val="24"/>
          <w:lang w:val="de-AT"/>
        </w:rPr>
        <w:t>.</w:t>
      </w:r>
      <w:r w:rsidRPr="006026DC">
        <w:rPr>
          <w:rFonts w:cs="Times New Roman"/>
          <w:szCs w:val="24"/>
          <w:lang w:val="de-AT"/>
        </w:rPr>
        <w:t xml:space="preserve"> Im niederen Dienst wurden keine sehr strengen Maßstäbe angelegt; hier genügte es, wenn der Betreffende des Deutschen mächtig war und sich national zumindest indifferent verhielt</w:t>
      </w:r>
      <w:r w:rsidRPr="006026DC">
        <w:rPr>
          <w:rStyle w:val="Funotenzeichen"/>
          <w:rFonts w:cs="Times New Roman"/>
          <w:lang w:val="de-AT"/>
        </w:rPr>
        <w:footnoteReference w:id="41"/>
      </w:r>
      <w:r w:rsidRPr="006026DC">
        <w:rPr>
          <w:rFonts w:cs="Times New Roman"/>
          <w:szCs w:val="24"/>
          <w:lang w:val="de-AT"/>
        </w:rPr>
        <w:t>.</w:t>
      </w:r>
    </w:p>
    <w:p w14:paraId="6919ECA5" w14:textId="77777777" w:rsidR="00E17C7D" w:rsidRDefault="00E17C7D" w:rsidP="00E17C7D">
      <w:pPr>
        <w:rPr>
          <w:rFonts w:cs="Times New Roman"/>
          <w:szCs w:val="24"/>
          <w:lang w:val="de-AT"/>
        </w:rPr>
      </w:pPr>
    </w:p>
    <w:p w14:paraId="38A14050" w14:textId="127821F7" w:rsidR="00E17C7D" w:rsidRDefault="00E17C7D" w:rsidP="00E17C7D">
      <w:pPr>
        <w:rPr>
          <w:rFonts w:cs="Times New Roman"/>
          <w:szCs w:val="24"/>
          <w:lang w:val="de-AT"/>
        </w:rPr>
      </w:pPr>
      <w:r w:rsidRPr="006026DC">
        <w:rPr>
          <w:rFonts w:cs="Times New Roman"/>
          <w:szCs w:val="24"/>
          <w:lang w:val="de-AT"/>
        </w:rPr>
        <w:t>Neben dem Zwischenstaatsamtlichen Komitee gab es weitere staatliche Einrichtungen, die speziell für Staatsbedienstete in den neuen Nationalstaaten zuständig waren. Die Geschäftsstelle für Staatsbedienstetenfragen im Staatsamt für Finanzen sollte remigrierte Staatsbedienstete wie auch verfügbare Stellen in der Republik in Evidenz haben, erfüllte diese Aufgabe aber de facto nicht zureichend. Darüber hinaus</w:t>
      </w:r>
      <w:r>
        <w:rPr>
          <w:rFonts w:cs="Times New Roman"/>
          <w:szCs w:val="24"/>
          <w:lang w:val="de-AT"/>
        </w:rPr>
        <w:t xml:space="preserve"> war beim Kanzleramt</w:t>
      </w:r>
      <w:r w:rsidRPr="006026DC">
        <w:rPr>
          <w:rFonts w:cs="Times New Roman"/>
          <w:szCs w:val="24"/>
          <w:lang w:val="de-AT"/>
        </w:rPr>
        <w:t xml:space="preserve"> eine „Abteilung Sudetendienst“ sowie eine im Juli 1919 gegründete und bis 1921 aktive „Schutzstelle </w:t>
      </w:r>
      <w:r w:rsidRPr="00392D51">
        <w:rPr>
          <w:rFonts w:cs="Times New Roman"/>
          <w:szCs w:val="24"/>
          <w:lang w:val="de-AT"/>
        </w:rPr>
        <w:t>für die deutschen öffentlichen Angestellten aus den Nationalstaaten” eingerichtet.</w:t>
      </w:r>
      <w:r w:rsidRPr="006026DC">
        <w:rPr>
          <w:rFonts w:cs="Times New Roman"/>
          <w:szCs w:val="24"/>
          <w:lang w:val="de-AT"/>
        </w:rPr>
        <w:t xml:space="preserve"> Das Personal </w:t>
      </w:r>
      <w:r>
        <w:rPr>
          <w:rFonts w:cs="Times New Roman"/>
          <w:szCs w:val="24"/>
          <w:lang w:val="de-AT"/>
        </w:rPr>
        <w:t>d</w:t>
      </w:r>
      <w:r w:rsidRPr="006026DC">
        <w:rPr>
          <w:rFonts w:cs="Times New Roman"/>
          <w:szCs w:val="24"/>
          <w:lang w:val="de-AT"/>
        </w:rPr>
        <w:t>er Schutzstelle bestand größtenteils selbst aus vertriebenen Beamten.</w:t>
      </w:r>
      <w:r>
        <w:rPr>
          <w:rFonts w:cs="Times New Roman"/>
          <w:szCs w:val="24"/>
          <w:lang w:val="de-AT"/>
        </w:rPr>
        <w:t xml:space="preserve"> Es existierten</w:t>
      </w:r>
      <w:r w:rsidRPr="006026DC">
        <w:rPr>
          <w:rFonts w:cs="Times New Roman"/>
          <w:szCs w:val="24"/>
          <w:lang w:val="de-AT"/>
        </w:rPr>
        <w:t xml:space="preserve"> auch nichtstaatliche Organisationen, die sich für die Interessen der Staatsbediensteten einsetzten. Eine davon war der deutsche Volksrat für</w:t>
      </w:r>
      <w:r w:rsidR="00AC68C8">
        <w:rPr>
          <w:rFonts w:cs="Times New Roman"/>
          <w:szCs w:val="24"/>
          <w:lang w:val="de-AT"/>
        </w:rPr>
        <w:t xml:space="preserve"> Österreich, gegründet bereits am 26. Mai</w:t>
      </w:r>
      <w:r w:rsidRPr="006026DC">
        <w:rPr>
          <w:rFonts w:cs="Times New Roman"/>
          <w:szCs w:val="24"/>
          <w:lang w:val="de-AT"/>
        </w:rPr>
        <w:t xml:space="preserve"> 1918, als Dachverband der Deutschen Volksräte in mehreren Ländern der ehemaligen Monarchie. Er setzte sich für die Einrichtung einer Vermittlungsstelle für die vertriebenen deutschösterreichischen Staatsbediensteten ein. Weiters gab es den deutschösterreichischen Verband vertriebener deutscher Staatsangestellten, gegründet am 27. März 1919 in Wien. Dieser kämpfte für die sofortige Wiederanstellung und vollkommenen Gleichstellung der von den Nationalstaaten vertriebenen deutschen Staatsbediensteten mit den übrigen Staatsangestellten Deutschösterreichs</w:t>
      </w:r>
      <w:r w:rsidRPr="006026DC">
        <w:rPr>
          <w:rStyle w:val="Funotenzeichen"/>
          <w:rFonts w:cs="Times New Roman"/>
          <w:lang w:val="de-AT"/>
        </w:rPr>
        <w:footnoteReference w:id="42"/>
      </w:r>
      <w:r w:rsidRPr="006026DC">
        <w:rPr>
          <w:rFonts w:cs="Times New Roman"/>
          <w:szCs w:val="24"/>
          <w:lang w:val="de-AT"/>
        </w:rPr>
        <w:t>.</w:t>
      </w:r>
    </w:p>
    <w:p w14:paraId="1D2D1315" w14:textId="77777777" w:rsidR="00E17C7D" w:rsidRDefault="00E17C7D" w:rsidP="00E17C7D">
      <w:pPr>
        <w:rPr>
          <w:rFonts w:cs="Times New Roman"/>
          <w:szCs w:val="24"/>
          <w:lang w:val="de-AT"/>
        </w:rPr>
      </w:pPr>
    </w:p>
    <w:p w14:paraId="4A16A5AD" w14:textId="77777777" w:rsidR="00436FE6" w:rsidRPr="006026DC" w:rsidRDefault="00436FE6" w:rsidP="00436FE6">
      <w:pPr>
        <w:pStyle w:val="berschrift2"/>
        <w:ind w:firstLine="0"/>
        <w:jc w:val="left"/>
        <w:rPr>
          <w:lang w:val="de-AT"/>
        </w:rPr>
      </w:pPr>
      <w:r w:rsidRPr="006026DC">
        <w:rPr>
          <w:lang w:val="de-AT"/>
        </w:rPr>
        <w:lastRenderedPageBreak/>
        <w:t>Staatsbedienstete deutscher Nationalität in umstrittenen Gebieten</w:t>
      </w:r>
    </w:p>
    <w:p w14:paraId="61DEAB19" w14:textId="279BA0DD" w:rsidR="00436FE6" w:rsidRDefault="00436FE6" w:rsidP="00436FE6">
      <w:pPr>
        <w:rPr>
          <w:rFonts w:cs="Times New Roman"/>
          <w:szCs w:val="24"/>
          <w:lang w:val="de-AT"/>
        </w:rPr>
      </w:pPr>
      <w:r w:rsidRPr="006026DC">
        <w:rPr>
          <w:rFonts w:cs="Times New Roman"/>
          <w:szCs w:val="24"/>
          <w:lang w:val="de-AT"/>
        </w:rPr>
        <w:t>Widersprüchliche Intentionen des österreichischen Staates und seiner Vertreter charakterisieren die Situation dieser Personen. Aus dieser Widersprüchlichkeit erwuchs die über zwei Jahre dauernde unsichere Lage der ehemals österreichischen Beamten deutscher Nationalität in den Nachfolgestaaten der Donaumonarchie. Einerseits war es klar die Absicht des Staates, die Interessen seiner Bediensteten zu wahren. Die Staatsbediensteten deutscher Nationalität in den Nachfolgestaaten wurden nicht einfach ihrem Schicksal überlassen. Einer raschen und effizienten Erledigung ihrer Übernahme standen aber mindestens zwei Punkte im Weg. Zum einen waren die finanziellen Mittel der Republik knapp, und der Arbeitsmarkt war schon innerhalb der Republik Deutschösterreich mehr als gesättigt, sodass die Staatsbediensteten aus den Nachfolgestaaten nicht einfach in den deutschösterreichischen Staatsdienst übernommen werden konnten. Es wurde zwar angestrebt, die sogenannten fremdnationalen Staatsbediensteten auf dem Gebiet der Republik möglichst rasch abzubauen um freie Stellen zu schaffen, deren Zahl war aber deutlich geringer als die der Beamten deutscher Nationalität in d</w:t>
      </w:r>
      <w:r w:rsidR="00AC68C8">
        <w:rPr>
          <w:rFonts w:cs="Times New Roman"/>
          <w:szCs w:val="24"/>
          <w:lang w:val="de-AT"/>
        </w:rPr>
        <w:t>en Nachfolgestaaten. Andererseits</w:t>
      </w:r>
      <w:r w:rsidRPr="006026DC">
        <w:rPr>
          <w:rFonts w:cs="Times New Roman"/>
          <w:szCs w:val="24"/>
          <w:lang w:val="de-AT"/>
        </w:rPr>
        <w:t xml:space="preserve"> wurden einige der Gebiete in den Nachfolgestaaten bis zum Abschluss des Vertrags von Saint-Germain-en-Laye von Österreich ebenso wie den Nachfolgestaaten beansprucht</w:t>
      </w:r>
      <w:r w:rsidRPr="006026DC">
        <w:rPr>
          <w:rStyle w:val="Funotenzeichen"/>
          <w:rFonts w:cs="Times New Roman"/>
          <w:lang w:val="de-AT"/>
        </w:rPr>
        <w:footnoteReference w:id="43"/>
      </w:r>
      <w:r>
        <w:rPr>
          <w:rFonts w:cs="Times New Roman"/>
          <w:szCs w:val="24"/>
          <w:lang w:val="de-AT"/>
        </w:rPr>
        <w:t>. E</w:t>
      </w:r>
      <w:r w:rsidRPr="006026DC">
        <w:rPr>
          <w:rFonts w:cs="Times New Roman"/>
          <w:szCs w:val="24"/>
          <w:lang w:val="de-AT"/>
        </w:rPr>
        <w:t>s war im Interesse der Republik, die deutschsprachigen Lehrer, Verwaltungs-, Justiz- und Finanzbeamten möglichst in diesen Gebieten zu belassen, um argumentieren zu können, dass diese Gebiete überwiegend von Personen deutscher Na</w:t>
      </w:r>
      <w:r w:rsidR="00BF14B3">
        <w:rPr>
          <w:rFonts w:cs="Times New Roman"/>
          <w:szCs w:val="24"/>
          <w:lang w:val="de-AT"/>
        </w:rPr>
        <w:t xml:space="preserve">tionalität bewohnt werden. Man hoffte </w:t>
      </w:r>
      <w:r w:rsidRPr="006026DC">
        <w:rPr>
          <w:rFonts w:cs="Times New Roman"/>
          <w:szCs w:val="24"/>
          <w:lang w:val="de-AT"/>
        </w:rPr>
        <w:t>auf die Anwendung des</w:t>
      </w:r>
      <w:r>
        <w:rPr>
          <w:rFonts w:cs="Times New Roman"/>
          <w:szCs w:val="24"/>
          <w:lang w:val="de-AT"/>
        </w:rPr>
        <w:t xml:space="preserve"> 14-</w:t>
      </w:r>
      <w:r w:rsidRPr="006026DC">
        <w:rPr>
          <w:rFonts w:cs="Times New Roman"/>
          <w:szCs w:val="24"/>
          <w:lang w:val="de-AT"/>
        </w:rPr>
        <w:t>Punkte</w:t>
      </w:r>
      <w:r>
        <w:rPr>
          <w:rFonts w:cs="Times New Roman"/>
          <w:szCs w:val="24"/>
          <w:lang w:val="de-AT"/>
        </w:rPr>
        <w:t>-</w:t>
      </w:r>
      <w:r w:rsidRPr="006026DC">
        <w:rPr>
          <w:rFonts w:cs="Times New Roman"/>
          <w:szCs w:val="24"/>
          <w:lang w:val="de-AT"/>
        </w:rPr>
        <w:t xml:space="preserve">Programms </w:t>
      </w:r>
      <w:r>
        <w:rPr>
          <w:rFonts w:cs="Times New Roman"/>
          <w:szCs w:val="24"/>
          <w:lang w:val="de-AT"/>
        </w:rPr>
        <w:t xml:space="preserve">vom 8. Jänner 1918 </w:t>
      </w:r>
      <w:r w:rsidRPr="006026DC">
        <w:rPr>
          <w:rFonts w:cs="Times New Roman"/>
          <w:szCs w:val="24"/>
          <w:lang w:val="de-AT"/>
        </w:rPr>
        <w:t>von Woodr</w:t>
      </w:r>
      <w:r>
        <w:rPr>
          <w:rFonts w:cs="Times New Roman"/>
          <w:szCs w:val="24"/>
          <w:lang w:val="de-AT"/>
        </w:rPr>
        <w:t>ow Wilson, dess</w:t>
      </w:r>
      <w:r w:rsidRPr="006026DC">
        <w:rPr>
          <w:rFonts w:cs="Times New Roman"/>
          <w:szCs w:val="24"/>
          <w:lang w:val="de-AT"/>
        </w:rPr>
        <w:t>en zehnter Punkt besagte, dass den Völkern Österreich-Ungarns, die freieste Gelegenheit zu autonomer Entwicklung zugestanden werden sollte</w:t>
      </w:r>
      <w:r w:rsidRPr="003E4703">
        <w:rPr>
          <w:rStyle w:val="Funotenzeichen"/>
          <w:rFonts w:cs="Times New Roman"/>
          <w:lang w:val="de-AT"/>
        </w:rPr>
        <w:footnoteReference w:id="44"/>
      </w:r>
      <w:r w:rsidRPr="003E4703">
        <w:rPr>
          <w:rFonts w:cs="Times New Roman"/>
          <w:szCs w:val="24"/>
          <w:lang w:val="de-AT"/>
        </w:rPr>
        <w:t xml:space="preserve">. </w:t>
      </w:r>
    </w:p>
    <w:p w14:paraId="733A9F7B" w14:textId="77777777" w:rsidR="00436FE6" w:rsidRPr="003E4703" w:rsidRDefault="00436FE6" w:rsidP="00436FE6">
      <w:pPr>
        <w:rPr>
          <w:rFonts w:cs="Times New Roman"/>
          <w:szCs w:val="24"/>
          <w:lang w:val="de-AT"/>
        </w:rPr>
      </w:pPr>
    </w:p>
    <w:p w14:paraId="3656C256" w14:textId="77777777" w:rsidR="00436FE6" w:rsidRDefault="00436FE6" w:rsidP="00436FE6">
      <w:pPr>
        <w:rPr>
          <w:rFonts w:cs="Times New Roman"/>
          <w:szCs w:val="24"/>
          <w:lang w:val="de-AT"/>
        </w:rPr>
      </w:pPr>
      <w:r w:rsidRPr="006026DC">
        <w:rPr>
          <w:rFonts w:cs="Times New Roman"/>
          <w:szCs w:val="24"/>
          <w:lang w:val="de-AT"/>
        </w:rPr>
        <w:t xml:space="preserve">In einem im Februar 1919 verfassten Merkblatt des Zwischenstaatsamtlichen Komitees, das an die Staatsbediensteten in einigen der umstrittenen Gebieten ergehen sollte, heißt es: </w:t>
      </w:r>
    </w:p>
    <w:p w14:paraId="40560A51" w14:textId="77777777" w:rsidR="00BF14B3" w:rsidRPr="006026DC" w:rsidRDefault="00BF14B3" w:rsidP="00436FE6">
      <w:pPr>
        <w:rPr>
          <w:rFonts w:cs="Times New Roman"/>
          <w:szCs w:val="24"/>
          <w:lang w:val="de-AT"/>
        </w:rPr>
      </w:pPr>
    </w:p>
    <w:p w14:paraId="396A386E" w14:textId="44EDF3B3" w:rsidR="00436FE6" w:rsidRDefault="00436FE6" w:rsidP="00436FE6">
      <w:pPr>
        <w:ind w:left="567" w:right="567"/>
        <w:rPr>
          <w:rFonts w:cs="Times New Roman"/>
          <w:sz w:val="20"/>
          <w:lang w:val="de-AT"/>
        </w:rPr>
      </w:pPr>
      <w:r w:rsidRPr="006026DC">
        <w:rPr>
          <w:rFonts w:cs="Times New Roman"/>
          <w:sz w:val="20"/>
          <w:lang w:val="de-AT"/>
        </w:rPr>
        <w:t>Es ist daher nationale Pflicht der deutschen Beamten, in den deutschen Teilen der Sudetenländer, auf welche die deutschösterreichische Regierung nach wie vor Anspruch erhebt, auszuharren, hiedurch ihre Treue zum deutschösterreichischen Staate zu bekunden und nicht wegen mitunter bloß vermuteter Gefährdung ihrer Stellung die Übernahme auf einen Dienstposten in den unbestrittenen Gebieten Deutschösterreichs anzustreben.</w:t>
      </w:r>
    </w:p>
    <w:p w14:paraId="2B053137" w14:textId="77777777" w:rsidR="00436FE6" w:rsidRPr="006026DC" w:rsidRDefault="00436FE6" w:rsidP="00436FE6">
      <w:pPr>
        <w:ind w:left="567" w:right="567"/>
        <w:rPr>
          <w:rFonts w:cs="Times New Roman"/>
          <w:sz w:val="20"/>
          <w:lang w:val="de-AT"/>
        </w:rPr>
      </w:pPr>
    </w:p>
    <w:p w14:paraId="3B03AFF9" w14:textId="77777777" w:rsidR="00436FE6" w:rsidRDefault="00436FE6" w:rsidP="00436FE6">
      <w:pPr>
        <w:rPr>
          <w:rFonts w:cs="Times New Roman"/>
          <w:szCs w:val="24"/>
          <w:lang w:val="de-AT"/>
        </w:rPr>
      </w:pPr>
      <w:r w:rsidRPr="006026DC">
        <w:rPr>
          <w:rFonts w:cs="Times New Roman"/>
          <w:szCs w:val="24"/>
          <w:lang w:val="de-AT"/>
        </w:rPr>
        <w:t xml:space="preserve">Darin wird auch erläutert, welche Folgen die Ablegung von Gelöbnissen auf den deutschösterreichischen oder tschechoslowakischen Staat haben: </w:t>
      </w:r>
    </w:p>
    <w:p w14:paraId="013DC474" w14:textId="77777777" w:rsidR="00436FE6" w:rsidRPr="006026DC" w:rsidRDefault="00436FE6" w:rsidP="00436FE6">
      <w:pPr>
        <w:rPr>
          <w:rFonts w:cs="Times New Roman"/>
          <w:szCs w:val="24"/>
          <w:lang w:val="de-AT"/>
        </w:rPr>
      </w:pPr>
    </w:p>
    <w:p w14:paraId="1782BF66" w14:textId="77AAF2AA" w:rsidR="00436FE6" w:rsidRDefault="00436FE6" w:rsidP="00436FE6">
      <w:pPr>
        <w:ind w:left="567" w:right="567"/>
        <w:rPr>
          <w:rFonts w:cs="Times New Roman"/>
          <w:sz w:val="20"/>
          <w:lang w:val="de-AT"/>
        </w:rPr>
      </w:pPr>
      <w:r w:rsidRPr="006026DC">
        <w:rPr>
          <w:rFonts w:cs="Times New Roman"/>
          <w:sz w:val="20"/>
          <w:lang w:val="de-AT"/>
        </w:rPr>
        <w:t xml:space="preserve">Die deutschösterreichische Regierung hat deshalb auch in wiederholten Fällen jenen deutschen Beamten in den Sudetenländern, die das Gelöbnis auf den deutschösterreichischen Staat bereits abgelegt hatten und wegen dieses Gelöbnisses bei der tschecho-slowakischen Regierung anläßlich der gewaltsamen Besetzung deutscher Gebiete hinsichtlich ihrer dienstlichen Stellung Schwierigkeiten zu gewärtigen oder zu befürchten hatten, gestattet, unvorgreiflich für die schließliche Lösung der Staatsgebietsfrage und für die endgültige Regelung der Beamtenverhältnisse sowie unbeschadet des Gelöbnisses für Deutschösterreich den Verkehr mit den </w:t>
      </w:r>
      <w:r w:rsidRPr="006026DC">
        <w:rPr>
          <w:rFonts w:cs="Times New Roman"/>
          <w:sz w:val="20"/>
          <w:lang w:val="de-AT"/>
        </w:rPr>
        <w:lastRenderedPageBreak/>
        <w:t>früheren Oberbehörden wieder aufzunehmen und unter den gleichen Einschränkungen der tschecho-slowakischen Regierung über Verlangen bis auf weiteres die Beobachtung der Amtspflichten, Wahrung des Amtsgeheimnisses und Befolgung der bestehenden Gesetze und Vorschriften zu versprechen beziehungsweise zu geloben</w:t>
      </w:r>
      <w:r w:rsidR="00BF14B3" w:rsidRPr="006026DC">
        <w:rPr>
          <w:rStyle w:val="Funotenzeichen"/>
          <w:rFonts w:cs="Times New Roman"/>
          <w:sz w:val="20"/>
          <w:lang w:val="de-AT"/>
        </w:rPr>
        <w:footnoteReference w:id="45"/>
      </w:r>
      <w:r w:rsidRPr="006026DC">
        <w:rPr>
          <w:rFonts w:cs="Times New Roman"/>
          <w:sz w:val="20"/>
          <w:lang w:val="de-AT"/>
        </w:rPr>
        <w:t>.“</w:t>
      </w:r>
    </w:p>
    <w:p w14:paraId="39A655D5" w14:textId="77777777" w:rsidR="00436FE6" w:rsidRPr="006026DC" w:rsidRDefault="00436FE6" w:rsidP="00436FE6">
      <w:pPr>
        <w:ind w:left="567" w:right="567"/>
        <w:rPr>
          <w:rFonts w:cs="Times New Roman"/>
          <w:szCs w:val="24"/>
          <w:lang w:val="de-AT"/>
        </w:rPr>
      </w:pPr>
    </w:p>
    <w:p w14:paraId="0DF55AAA" w14:textId="17757793" w:rsidR="00436FE6" w:rsidRDefault="00436FE6" w:rsidP="00436FE6">
      <w:pPr>
        <w:rPr>
          <w:rFonts w:cs="Times New Roman"/>
          <w:szCs w:val="24"/>
          <w:lang w:val="de-AT"/>
        </w:rPr>
      </w:pPr>
      <w:r w:rsidRPr="006026DC">
        <w:rPr>
          <w:rFonts w:cs="Times New Roman"/>
          <w:szCs w:val="24"/>
          <w:lang w:val="de-AT"/>
        </w:rPr>
        <w:t xml:space="preserve">Falls vormals österreichische Staatsbedienstete, die in strittigen Gebieten Dienst taten, vertrieben wurden, also ihren Dienst nicht mehr ausüben durften oder konnten, so wurden sie vorläufig in den Dienst der Republik übernommen. Dies galt aber nur für jene, die ihren Dienst nicht mehr ausüben </w:t>
      </w:r>
      <w:r w:rsidRPr="006026DC">
        <w:rPr>
          <w:rFonts w:cs="Times New Roman"/>
          <w:i/>
          <w:szCs w:val="24"/>
          <w:lang w:val="de-AT"/>
        </w:rPr>
        <w:t>konnten</w:t>
      </w:r>
      <w:r w:rsidRPr="006026DC">
        <w:rPr>
          <w:rFonts w:cs="Times New Roman"/>
          <w:szCs w:val="24"/>
          <w:lang w:val="de-AT"/>
        </w:rPr>
        <w:t xml:space="preserve">, nicht aber jene, die das nicht mehr </w:t>
      </w:r>
      <w:r w:rsidRPr="006026DC">
        <w:rPr>
          <w:rFonts w:cs="Times New Roman"/>
          <w:i/>
          <w:szCs w:val="24"/>
          <w:lang w:val="de-AT"/>
        </w:rPr>
        <w:t>wollten</w:t>
      </w:r>
      <w:r>
        <w:rPr>
          <w:rFonts w:cs="Times New Roman"/>
          <w:szCs w:val="24"/>
          <w:lang w:val="de-AT"/>
        </w:rPr>
        <w:t xml:space="preserve">, was </w:t>
      </w:r>
      <w:r w:rsidRPr="006026DC">
        <w:rPr>
          <w:rFonts w:cs="Times New Roman"/>
          <w:szCs w:val="24"/>
          <w:lang w:val="de-AT"/>
        </w:rPr>
        <w:t xml:space="preserve">in der Praxis </w:t>
      </w:r>
      <w:r>
        <w:rPr>
          <w:rFonts w:cs="Times New Roman"/>
          <w:szCs w:val="24"/>
          <w:lang w:val="de-AT"/>
        </w:rPr>
        <w:t>nicht immer klar zu entscheiden war</w:t>
      </w:r>
      <w:r w:rsidRPr="006026DC">
        <w:rPr>
          <w:rFonts w:cs="Times New Roman"/>
          <w:szCs w:val="24"/>
          <w:lang w:val="de-AT"/>
        </w:rPr>
        <w:t xml:space="preserve">. </w:t>
      </w:r>
      <w:r>
        <w:rPr>
          <w:rFonts w:cs="Times New Roman"/>
          <w:szCs w:val="24"/>
          <w:lang w:val="de-AT"/>
        </w:rPr>
        <w:t>Schwierig</w:t>
      </w:r>
      <w:r w:rsidRPr="006026DC">
        <w:rPr>
          <w:rFonts w:cs="Times New Roman"/>
          <w:szCs w:val="24"/>
          <w:lang w:val="de-AT"/>
        </w:rPr>
        <w:t xml:space="preserve"> war die Situation von Beamten, die vor Ort blieben und denen mehr oder weniger dringlich nahegelegt wurde den Amtseid auf den tsche</w:t>
      </w:r>
      <w:r>
        <w:rPr>
          <w:rFonts w:cs="Times New Roman"/>
          <w:szCs w:val="24"/>
          <w:lang w:val="de-AT"/>
        </w:rPr>
        <w:t>choslowakischen Staat abzulegen</w:t>
      </w:r>
      <w:r w:rsidRPr="006026DC">
        <w:rPr>
          <w:rStyle w:val="Funotenzeichen"/>
          <w:rFonts w:cs="Times New Roman"/>
          <w:lang w:val="de-AT"/>
        </w:rPr>
        <w:footnoteReference w:id="46"/>
      </w:r>
      <w:r>
        <w:rPr>
          <w:rFonts w:cs="Times New Roman"/>
          <w:szCs w:val="24"/>
          <w:lang w:val="de-AT"/>
        </w:rPr>
        <w:t>.</w:t>
      </w:r>
      <w:r w:rsidRPr="006026DC">
        <w:rPr>
          <w:rFonts w:cs="Times New Roman"/>
          <w:szCs w:val="24"/>
          <w:lang w:val="de-AT"/>
        </w:rPr>
        <w:t xml:space="preserve"> In dieser unsicheren Situation wendeten sie sich mit Anfragen an die entsprechenden Behörden der Republik. Aus solchen Anfragen und den Reaktionen darauf, diskutiert in den Verhandlungsschriften des Zwischenstaatsamtlichen Komitees</w:t>
      </w:r>
      <w:r>
        <w:rPr>
          <w:rFonts w:cs="Times New Roman"/>
          <w:szCs w:val="24"/>
          <w:lang w:val="de-AT"/>
        </w:rPr>
        <w:t>,</w:t>
      </w:r>
      <w:r w:rsidRPr="006026DC">
        <w:rPr>
          <w:rFonts w:cs="Times New Roman"/>
          <w:szCs w:val="24"/>
          <w:lang w:val="de-AT"/>
        </w:rPr>
        <w:t xml:space="preserve"> möchte ich im Folgenden Beispiele bringen</w:t>
      </w:r>
      <w:r>
        <w:rPr>
          <w:rFonts w:cs="Times New Roman"/>
          <w:szCs w:val="24"/>
          <w:lang w:val="de-AT"/>
        </w:rPr>
        <w:t>.</w:t>
      </w:r>
    </w:p>
    <w:p w14:paraId="3D378EFE" w14:textId="77777777" w:rsidR="00436FE6" w:rsidRPr="006026DC" w:rsidRDefault="00436FE6" w:rsidP="00436FE6">
      <w:pPr>
        <w:rPr>
          <w:rFonts w:cs="Times New Roman"/>
          <w:szCs w:val="24"/>
          <w:lang w:val="de-AT"/>
        </w:rPr>
      </w:pPr>
    </w:p>
    <w:p w14:paraId="18A3DE7D" w14:textId="77777777" w:rsidR="00436FE6" w:rsidRPr="001C2D17" w:rsidRDefault="00436FE6" w:rsidP="00436FE6">
      <w:pPr>
        <w:pStyle w:val="berschrift3"/>
        <w:rPr>
          <w:lang w:val="de-AT"/>
        </w:rPr>
      </w:pPr>
      <w:r w:rsidRPr="001C2D17">
        <w:rPr>
          <w:lang w:val="de-AT"/>
        </w:rPr>
        <w:t>Selbstbewusstes Fordern:</w:t>
      </w:r>
    </w:p>
    <w:p w14:paraId="619B13C3" w14:textId="77777777" w:rsidR="00436FE6" w:rsidRDefault="00436FE6" w:rsidP="00436FE6">
      <w:pPr>
        <w:tabs>
          <w:tab w:val="left" w:pos="7695"/>
        </w:tabs>
        <w:rPr>
          <w:rFonts w:cs="Times New Roman"/>
          <w:szCs w:val="24"/>
          <w:lang w:val="de-AT"/>
        </w:rPr>
      </w:pPr>
      <w:r>
        <w:rPr>
          <w:rFonts w:cs="Times New Roman"/>
          <w:szCs w:val="24"/>
          <w:lang w:val="de-AT"/>
        </w:rPr>
        <w:t xml:space="preserve">Der </w:t>
      </w:r>
      <w:r w:rsidRPr="006026DC">
        <w:rPr>
          <w:rFonts w:cs="Times New Roman"/>
          <w:szCs w:val="24"/>
          <w:lang w:val="de-AT"/>
        </w:rPr>
        <w:t xml:space="preserve">Unterstaatssekretär </w:t>
      </w:r>
      <w:r>
        <w:rPr>
          <w:rFonts w:cs="Times New Roman"/>
          <w:szCs w:val="24"/>
          <w:lang w:val="de-AT"/>
        </w:rPr>
        <w:t xml:space="preserve">Eugen </w:t>
      </w:r>
      <w:r w:rsidRPr="006026DC">
        <w:rPr>
          <w:rFonts w:cs="Times New Roman"/>
          <w:szCs w:val="24"/>
          <w:lang w:val="de-AT"/>
        </w:rPr>
        <w:t>Beck</w:t>
      </w:r>
      <w:r>
        <w:rPr>
          <w:rFonts w:cs="Times New Roman"/>
          <w:szCs w:val="24"/>
          <w:lang w:val="de-AT"/>
        </w:rPr>
        <w:t>-Managetta</w:t>
      </w:r>
      <w:r w:rsidRPr="006026DC">
        <w:rPr>
          <w:rFonts w:cs="Times New Roman"/>
          <w:szCs w:val="24"/>
          <w:lang w:val="de-AT"/>
        </w:rPr>
        <w:t xml:space="preserve"> berichtet</w:t>
      </w:r>
      <w:r>
        <w:rPr>
          <w:rFonts w:cs="Times New Roman"/>
          <w:szCs w:val="24"/>
          <w:lang w:val="de-AT"/>
        </w:rPr>
        <w:t>e Ende November 1918</w:t>
      </w:r>
      <w:r w:rsidRPr="006026DC">
        <w:rPr>
          <w:rFonts w:cs="Times New Roman"/>
          <w:szCs w:val="24"/>
          <w:lang w:val="de-AT"/>
        </w:rPr>
        <w:t xml:space="preserve">, </w:t>
      </w:r>
    </w:p>
    <w:p w14:paraId="4FA1A18D" w14:textId="77777777" w:rsidR="00436FE6" w:rsidRDefault="00436FE6" w:rsidP="00436FE6">
      <w:pPr>
        <w:tabs>
          <w:tab w:val="left" w:pos="7695"/>
        </w:tabs>
        <w:rPr>
          <w:rFonts w:cs="Times New Roman"/>
          <w:szCs w:val="24"/>
          <w:lang w:val="de-AT"/>
        </w:rPr>
      </w:pPr>
    </w:p>
    <w:p w14:paraId="1551FC14" w14:textId="65544E13" w:rsidR="00436FE6" w:rsidRDefault="00436FE6" w:rsidP="00436FE6">
      <w:pPr>
        <w:tabs>
          <w:tab w:val="left" w:pos="7695"/>
        </w:tabs>
        <w:ind w:left="567" w:right="567"/>
        <w:rPr>
          <w:rFonts w:cs="Times New Roman"/>
          <w:sz w:val="20"/>
          <w:lang w:val="de-AT"/>
        </w:rPr>
      </w:pPr>
      <w:r w:rsidRPr="001D1E9F">
        <w:rPr>
          <w:rFonts w:cs="Times New Roman"/>
          <w:sz w:val="20"/>
          <w:lang w:val="de-AT"/>
        </w:rPr>
        <w:t>dass zahlreiche deutsche Bedienstete bei Finanzämtern im südböhmischen, an Oberösterreich angegliederten Randgebiete erklärt haben, das Gelöbnis für den deutschösterreichischen Staat nur dann ablegen zu können, wenn sie gegen den ihnen im Falle eines seinerzeitigen endgiltigen [sic!] Zuspruches dieses Gebietes an den tschecho-slovakischen Staat sicher drohenden Amtsverlust durch die ausrückliche [sic!] Zusage der d.ö. Regierung, sodann in den deutschösterreichischen Staatsdienst aufgenommen zu werden, sichergestellt würden. Die vom Kabinettsrate mit der Beratung grundsätzlicher Staatsbedienstetenfragen betraute zwischenstaatsamtliche Geschäftsstelle sei einstimmig der Ansicht gewesen, daß ein solches Versprechen im Sinne der „Richtlinien“ (Kabinettsratsbeschluß vom 23. 11. 1918) aus Billigkeits- und nationalen Rücksichten wohl gegeben werden müsse</w:t>
      </w:r>
      <w:r w:rsidRPr="001D1E9F">
        <w:rPr>
          <w:rStyle w:val="Funotenzeichen"/>
          <w:rFonts w:cs="Times New Roman"/>
          <w:sz w:val="20"/>
          <w:lang w:val="de-AT"/>
        </w:rPr>
        <w:footnoteReference w:id="47"/>
      </w:r>
      <w:r w:rsidR="00951B51">
        <w:rPr>
          <w:rFonts w:cs="Times New Roman"/>
          <w:sz w:val="20"/>
          <w:lang w:val="de-AT"/>
        </w:rPr>
        <w:t>.</w:t>
      </w:r>
      <w:r w:rsidRPr="001D1E9F">
        <w:rPr>
          <w:rFonts w:cs="Times New Roman"/>
          <w:sz w:val="20"/>
          <w:lang w:val="de-AT"/>
        </w:rPr>
        <w:t xml:space="preserve"> </w:t>
      </w:r>
    </w:p>
    <w:p w14:paraId="06BF79B7" w14:textId="77777777" w:rsidR="00436FE6" w:rsidRPr="001D1E9F" w:rsidRDefault="00436FE6" w:rsidP="00436FE6">
      <w:pPr>
        <w:tabs>
          <w:tab w:val="left" w:pos="7695"/>
        </w:tabs>
        <w:ind w:left="567" w:right="567"/>
        <w:rPr>
          <w:rFonts w:cs="Times New Roman"/>
          <w:sz w:val="20"/>
          <w:lang w:val="de-AT"/>
        </w:rPr>
      </w:pPr>
    </w:p>
    <w:p w14:paraId="054055C0" w14:textId="77777777" w:rsidR="00436FE6" w:rsidRDefault="00436FE6" w:rsidP="00436FE6">
      <w:pPr>
        <w:tabs>
          <w:tab w:val="left" w:pos="7695"/>
        </w:tabs>
        <w:rPr>
          <w:rFonts w:cs="Times New Roman"/>
          <w:szCs w:val="24"/>
          <w:lang w:val="de-AT"/>
        </w:rPr>
      </w:pPr>
      <w:r w:rsidRPr="006026DC">
        <w:rPr>
          <w:rFonts w:cs="Times New Roman"/>
          <w:szCs w:val="24"/>
          <w:lang w:val="de-AT"/>
        </w:rPr>
        <w:t xml:space="preserve">Ein forderndes Auftreten war aber nicht in allen Fällen erfolgversprechend. </w:t>
      </w:r>
    </w:p>
    <w:p w14:paraId="7AAD0CA3" w14:textId="77777777" w:rsidR="00436FE6" w:rsidRDefault="00436FE6" w:rsidP="00436FE6">
      <w:pPr>
        <w:tabs>
          <w:tab w:val="left" w:pos="7695"/>
        </w:tabs>
        <w:rPr>
          <w:rFonts w:cs="Times New Roman"/>
          <w:szCs w:val="24"/>
          <w:lang w:val="de-AT"/>
        </w:rPr>
      </w:pPr>
    </w:p>
    <w:p w14:paraId="102648FF" w14:textId="4845F6B0" w:rsidR="00436FE6" w:rsidRDefault="00436FE6" w:rsidP="00436FE6">
      <w:pPr>
        <w:tabs>
          <w:tab w:val="left" w:pos="7695"/>
        </w:tabs>
        <w:ind w:left="567" w:right="567"/>
        <w:rPr>
          <w:rFonts w:cs="Times New Roman"/>
          <w:sz w:val="20"/>
          <w:lang w:val="de-AT"/>
        </w:rPr>
      </w:pPr>
      <w:r w:rsidRPr="001D1E9F">
        <w:rPr>
          <w:rFonts w:cs="Times New Roman"/>
          <w:sz w:val="20"/>
          <w:lang w:val="de-AT"/>
        </w:rPr>
        <w:t>Ein Beamter aus dem zum oberösterreichischen Verwaltungsgebiete gehörigen Teile Böhmens beansprucht die Aufnahme in den oberösterreichischen Verwaltungsdienst auf Grund des abgeleisteten Gelöbnisses. Angesichts der nachgewiesenen Unverläßlichkeit der nationalen Zugehörigkeit dieses Beamten wird Bedenken getragen, ihn ungeachtet seines geleisteten Gelöbnisses, dessen Ablegung übrigens von Amts wegen nicht verlangt worden war, zu übernehmen.</w:t>
      </w:r>
    </w:p>
    <w:p w14:paraId="5BCABB08" w14:textId="77777777" w:rsidR="00436FE6" w:rsidRPr="001D1E9F" w:rsidRDefault="00436FE6" w:rsidP="00436FE6">
      <w:pPr>
        <w:tabs>
          <w:tab w:val="left" w:pos="7695"/>
        </w:tabs>
        <w:ind w:left="567" w:right="567"/>
        <w:rPr>
          <w:rFonts w:cs="Times New Roman"/>
          <w:sz w:val="20"/>
          <w:lang w:val="de-AT"/>
        </w:rPr>
      </w:pPr>
    </w:p>
    <w:p w14:paraId="27CB127D" w14:textId="3F159D79" w:rsidR="00436FE6" w:rsidRPr="006026DC" w:rsidRDefault="00436FE6" w:rsidP="00436FE6">
      <w:pPr>
        <w:tabs>
          <w:tab w:val="left" w:pos="7695"/>
        </w:tabs>
        <w:rPr>
          <w:rFonts w:cs="Times New Roman"/>
          <w:szCs w:val="24"/>
          <w:lang w:val="de-AT"/>
        </w:rPr>
      </w:pPr>
      <w:r w:rsidRPr="006026DC">
        <w:rPr>
          <w:rFonts w:cs="Times New Roman"/>
          <w:szCs w:val="24"/>
          <w:lang w:val="de-AT"/>
        </w:rPr>
        <w:lastRenderedPageBreak/>
        <w:t>Das Komitee befand, dass die Übernahme nicht bindend erscheine, da das Gelöbnis weder von tschechoslowakischer, noch von deutschösterreichischer Seite abverlangt worden war.</w:t>
      </w:r>
      <w:r w:rsidRPr="006026DC">
        <w:rPr>
          <w:rStyle w:val="Funotenzeichen"/>
          <w:rFonts w:cs="Times New Roman"/>
          <w:lang w:val="de-AT"/>
        </w:rPr>
        <w:footnoteReference w:id="48"/>
      </w:r>
    </w:p>
    <w:p w14:paraId="34911390" w14:textId="77777777" w:rsidR="00436FE6" w:rsidRPr="006026DC" w:rsidRDefault="00436FE6" w:rsidP="00436FE6">
      <w:pPr>
        <w:tabs>
          <w:tab w:val="left" w:pos="7695"/>
        </w:tabs>
        <w:rPr>
          <w:rFonts w:cs="Times New Roman"/>
          <w:szCs w:val="24"/>
          <w:lang w:val="de-AT"/>
        </w:rPr>
      </w:pPr>
    </w:p>
    <w:p w14:paraId="3CA84019" w14:textId="77777777" w:rsidR="00436FE6" w:rsidRPr="001C2D17" w:rsidRDefault="00436FE6" w:rsidP="00436FE6">
      <w:pPr>
        <w:pStyle w:val="berschrift3"/>
        <w:rPr>
          <w:lang w:val="de-AT"/>
        </w:rPr>
      </w:pPr>
      <w:r w:rsidRPr="001C2D17">
        <w:rPr>
          <w:lang w:val="de-AT"/>
        </w:rPr>
        <w:t>Vorsichtiges Nachfragen</w:t>
      </w:r>
      <w:r>
        <w:rPr>
          <w:lang w:val="de-AT"/>
        </w:rPr>
        <w:t xml:space="preserve"> bezüglich Konsequenzen der Gelöbnisleistung</w:t>
      </w:r>
    </w:p>
    <w:p w14:paraId="1DAFCF2F" w14:textId="77777777" w:rsidR="00436FE6" w:rsidRDefault="00436FE6" w:rsidP="00436FE6">
      <w:pPr>
        <w:tabs>
          <w:tab w:val="left" w:pos="7695"/>
        </w:tabs>
        <w:rPr>
          <w:rFonts w:cs="Times New Roman"/>
          <w:szCs w:val="24"/>
          <w:lang w:val="de-AT"/>
        </w:rPr>
      </w:pPr>
      <w:r>
        <w:rPr>
          <w:rFonts w:cs="Times New Roman"/>
          <w:szCs w:val="24"/>
          <w:lang w:val="de-AT"/>
        </w:rPr>
        <w:t>Eine vorsichtigere Haltung nahm eine Gruppe von Tabakfabriksbeamten ein:</w:t>
      </w:r>
    </w:p>
    <w:p w14:paraId="0B75F874" w14:textId="77777777" w:rsidR="00436FE6" w:rsidRDefault="00436FE6" w:rsidP="00436FE6">
      <w:pPr>
        <w:tabs>
          <w:tab w:val="left" w:pos="7695"/>
        </w:tabs>
        <w:rPr>
          <w:rFonts w:cs="Times New Roman"/>
          <w:szCs w:val="24"/>
          <w:lang w:val="de-AT"/>
        </w:rPr>
      </w:pPr>
    </w:p>
    <w:p w14:paraId="7CABF837" w14:textId="2C3712D0" w:rsidR="00436FE6" w:rsidRDefault="00436FE6" w:rsidP="00436FE6">
      <w:pPr>
        <w:tabs>
          <w:tab w:val="left" w:pos="7695"/>
        </w:tabs>
        <w:ind w:left="567" w:right="567"/>
        <w:rPr>
          <w:rFonts w:cs="Times New Roman"/>
          <w:sz w:val="20"/>
          <w:lang w:val="de-AT"/>
        </w:rPr>
      </w:pPr>
      <w:r w:rsidRPr="001D1E9F">
        <w:rPr>
          <w:rFonts w:cs="Times New Roman"/>
          <w:sz w:val="20"/>
          <w:lang w:val="de-AT"/>
        </w:rPr>
        <w:t>In Iglau, welche Stadt in die Gebietshoheit des deutschösterreichischen Staates einbezogen ist, haben die Tabaksfabriksbeamten deutscher Nationalität, welche zur Angelobung für Deutschösterreich nicht aufgefordert worden sind, bisher ein formelles Gelöbnis für den tschecho-slowakischen Staat nicht abgelegt. Da jedoch die Aufforderung, dieses Gelöbnis zu leisten, ehestens zu gewärtigen ist und die Beamten der Iglauer Tabakfabrik begreiflicherweise wissen wollen, was sie zu gewärtigen haben, wenn sie die Angelobung für den tschechoslowakischen Staat verweigern, so erscheint die Klarstellung der Behandlung der bezeichneten Beamten seitens Deutschösterreichs für den Fall der Verweigerung diese Gelöbnisses im Interesse der Sicherstellung der Beamten dringlich geboten</w:t>
      </w:r>
      <w:r w:rsidRPr="001D1E9F">
        <w:rPr>
          <w:rStyle w:val="Funotenzeichen"/>
          <w:rFonts w:cs="Times New Roman"/>
          <w:sz w:val="20"/>
          <w:lang w:val="de-AT"/>
        </w:rPr>
        <w:footnoteReference w:id="49"/>
      </w:r>
      <w:r w:rsidRPr="001D1E9F">
        <w:rPr>
          <w:rFonts w:cs="Times New Roman"/>
          <w:sz w:val="20"/>
          <w:lang w:val="de-AT"/>
        </w:rPr>
        <w:t xml:space="preserve">. </w:t>
      </w:r>
    </w:p>
    <w:p w14:paraId="47C925C0" w14:textId="77777777" w:rsidR="00436FE6" w:rsidRPr="001D1E9F" w:rsidRDefault="00436FE6" w:rsidP="00436FE6">
      <w:pPr>
        <w:tabs>
          <w:tab w:val="left" w:pos="7695"/>
        </w:tabs>
        <w:ind w:left="567" w:right="567"/>
        <w:rPr>
          <w:rFonts w:cs="Times New Roman"/>
          <w:sz w:val="20"/>
          <w:lang w:val="de-AT"/>
        </w:rPr>
      </w:pPr>
    </w:p>
    <w:p w14:paraId="6C5E5462" w14:textId="77777777" w:rsidR="00436FE6" w:rsidRDefault="00436FE6" w:rsidP="00436FE6">
      <w:pPr>
        <w:tabs>
          <w:tab w:val="left" w:pos="7695"/>
        </w:tabs>
        <w:rPr>
          <w:rFonts w:cs="Times New Roman"/>
          <w:szCs w:val="24"/>
          <w:lang w:val="de-AT"/>
        </w:rPr>
      </w:pPr>
      <w:r>
        <w:rPr>
          <w:rFonts w:cs="Times New Roman"/>
          <w:szCs w:val="24"/>
          <w:lang w:val="de-AT"/>
        </w:rPr>
        <w:t>Die Reaktion des zwischenstaatsamtlichen Komitees war eher brüsk:</w:t>
      </w:r>
      <w:r w:rsidRPr="006026DC">
        <w:rPr>
          <w:rFonts w:cs="Times New Roman"/>
          <w:szCs w:val="24"/>
          <w:lang w:val="de-AT"/>
        </w:rPr>
        <w:t xml:space="preserve"> wie s</w:t>
      </w:r>
      <w:r>
        <w:rPr>
          <w:rFonts w:cs="Times New Roman"/>
          <w:szCs w:val="24"/>
          <w:lang w:val="de-AT"/>
        </w:rPr>
        <w:t>ich die Beamten entscheiden, sei</w:t>
      </w:r>
      <w:r w:rsidRPr="006026DC">
        <w:rPr>
          <w:rFonts w:cs="Times New Roman"/>
          <w:szCs w:val="24"/>
          <w:lang w:val="de-AT"/>
        </w:rPr>
        <w:t xml:space="preserve"> ihnen selbst überlassen, </w:t>
      </w:r>
      <w:r>
        <w:rPr>
          <w:rFonts w:cs="Times New Roman"/>
          <w:szCs w:val="24"/>
          <w:lang w:val="de-AT"/>
        </w:rPr>
        <w:t>darüber hinaus verwies man</w:t>
      </w:r>
      <w:r w:rsidRPr="006026DC">
        <w:rPr>
          <w:rFonts w:cs="Times New Roman"/>
          <w:szCs w:val="24"/>
          <w:lang w:val="de-AT"/>
        </w:rPr>
        <w:t xml:space="preserve"> auf </w:t>
      </w:r>
      <w:r>
        <w:rPr>
          <w:rFonts w:cs="Times New Roman"/>
          <w:szCs w:val="24"/>
          <w:lang w:val="de-AT"/>
        </w:rPr>
        <w:t>die „</w:t>
      </w:r>
      <w:r w:rsidRPr="006026DC">
        <w:rPr>
          <w:rFonts w:cs="Times New Roman"/>
          <w:szCs w:val="24"/>
          <w:lang w:val="de-AT"/>
        </w:rPr>
        <w:t>Richtlinien</w:t>
      </w:r>
      <w:r>
        <w:rPr>
          <w:rFonts w:cs="Times New Roman"/>
          <w:szCs w:val="24"/>
          <w:lang w:val="de-AT"/>
        </w:rPr>
        <w:t>“ vom 23. November 1918</w:t>
      </w:r>
      <w:r w:rsidRPr="006026DC">
        <w:rPr>
          <w:rFonts w:cs="Times New Roman"/>
          <w:szCs w:val="24"/>
          <w:lang w:val="de-AT"/>
        </w:rPr>
        <w:t>.</w:t>
      </w:r>
      <w:r>
        <w:rPr>
          <w:rFonts w:cs="Times New Roman"/>
          <w:szCs w:val="24"/>
          <w:lang w:val="de-AT"/>
        </w:rPr>
        <w:t xml:space="preserve"> Z</w:t>
      </w:r>
      <w:r w:rsidRPr="006026DC">
        <w:rPr>
          <w:rFonts w:cs="Times New Roman"/>
          <w:szCs w:val="24"/>
          <w:lang w:val="de-AT"/>
        </w:rPr>
        <w:t xml:space="preserve">u einer Anfrage </w:t>
      </w:r>
      <w:r>
        <w:rPr>
          <w:rFonts w:cs="Times New Roman"/>
          <w:szCs w:val="24"/>
          <w:lang w:val="de-AT"/>
        </w:rPr>
        <w:t>über die Konsequenzen eines Gelöbnisses für den tschechoslowakischen Staat von fünf</w:t>
      </w:r>
      <w:r w:rsidRPr="006026DC">
        <w:rPr>
          <w:rFonts w:cs="Times New Roman"/>
          <w:szCs w:val="24"/>
          <w:lang w:val="de-AT"/>
        </w:rPr>
        <w:t xml:space="preserve"> Steuerbeamten und einem Kanzleioffizianten</w:t>
      </w:r>
      <w:r>
        <w:rPr>
          <w:rFonts w:cs="Times New Roman"/>
          <w:szCs w:val="24"/>
          <w:lang w:val="de-AT"/>
        </w:rPr>
        <w:t xml:space="preserve"> in einem Amtsort</w:t>
      </w:r>
      <w:r w:rsidRPr="006026DC">
        <w:rPr>
          <w:rFonts w:cs="Times New Roman"/>
          <w:szCs w:val="24"/>
          <w:lang w:val="de-AT"/>
        </w:rPr>
        <w:t xml:space="preserve"> des umstrittenen Gebietes</w:t>
      </w:r>
      <w:r>
        <w:rPr>
          <w:rFonts w:cs="Times New Roman"/>
          <w:szCs w:val="24"/>
          <w:lang w:val="de-AT"/>
        </w:rPr>
        <w:t xml:space="preserve"> gab das Komitee diese Stellungnahme ab</w:t>
      </w:r>
      <w:r w:rsidRPr="006026DC">
        <w:rPr>
          <w:rFonts w:cs="Times New Roman"/>
          <w:szCs w:val="24"/>
          <w:lang w:val="de-AT"/>
        </w:rPr>
        <w:t xml:space="preserve">: </w:t>
      </w:r>
    </w:p>
    <w:p w14:paraId="0ABA05A7" w14:textId="77777777" w:rsidR="00436FE6" w:rsidRDefault="00436FE6" w:rsidP="00436FE6">
      <w:pPr>
        <w:tabs>
          <w:tab w:val="left" w:pos="7695"/>
        </w:tabs>
        <w:rPr>
          <w:rFonts w:cs="Times New Roman"/>
          <w:szCs w:val="24"/>
          <w:lang w:val="de-AT"/>
        </w:rPr>
      </w:pPr>
    </w:p>
    <w:p w14:paraId="79D81DEC" w14:textId="4D263935" w:rsidR="00436FE6" w:rsidRDefault="00436FE6" w:rsidP="00436FE6">
      <w:pPr>
        <w:tabs>
          <w:tab w:val="left" w:pos="7695"/>
        </w:tabs>
        <w:ind w:left="567" w:right="567"/>
        <w:rPr>
          <w:rFonts w:cs="Times New Roman"/>
          <w:sz w:val="20"/>
          <w:lang w:val="de-AT"/>
        </w:rPr>
      </w:pPr>
      <w:r w:rsidRPr="001D1E9F">
        <w:rPr>
          <w:rFonts w:cs="Times New Roman"/>
          <w:sz w:val="20"/>
          <w:lang w:val="de-AT"/>
        </w:rPr>
        <w:t>Über ihr Ansuchen vom 24. Dezember 1918 wird Ihnen, den gegenwärtigen Machtverhältnissen Rechnung tragend, für den Fall, als Sie wegen Ihres dem deutschösterreichischen Staate geleisteten Gelöbnisses mit der Entlassung aus Ihrem gegenwärtigen Dienste bedroht werden sollten, gestattet, eine von Ihnen seitens der hiezu berufenen Organe der tschecho-slowakischen Regierung etwa abverlangten Erklärung der Erfüllung Ihrer Amtspflichten gegenüber dem tschecho-slowakischen Staat mit der Einschränkung abzugeben, daß Sie diese Pflichtangelobung nur der Gewalt weichend und bis zur endgültigen Lösung der strittigen Frage des Staatsgebietes leisten können. Vor diesem Zeitpunkte kann demnach eine förmliche Enthebung von dem Treuegelöbnisse für den deutschösterreichischen Staat nicht erfolgen</w:t>
      </w:r>
      <w:r w:rsidRPr="001D1E9F">
        <w:rPr>
          <w:rStyle w:val="Funotenzeichen"/>
          <w:rFonts w:cs="Times New Roman"/>
          <w:sz w:val="20"/>
          <w:lang w:val="de-AT"/>
        </w:rPr>
        <w:footnoteReference w:id="50"/>
      </w:r>
      <w:r w:rsidRPr="001D1E9F">
        <w:rPr>
          <w:rFonts w:cs="Times New Roman"/>
          <w:sz w:val="20"/>
          <w:lang w:val="de-AT"/>
        </w:rPr>
        <w:t>.</w:t>
      </w:r>
    </w:p>
    <w:p w14:paraId="1D779569" w14:textId="77777777" w:rsidR="00436FE6" w:rsidRPr="00857991" w:rsidRDefault="00436FE6" w:rsidP="00436FE6">
      <w:pPr>
        <w:pStyle w:val="berschrift3"/>
        <w:rPr>
          <w:lang w:val="de-AT"/>
        </w:rPr>
      </w:pPr>
    </w:p>
    <w:p w14:paraId="7300DD58" w14:textId="77777777" w:rsidR="00436FE6" w:rsidRPr="001C2D17" w:rsidRDefault="00436FE6" w:rsidP="00436FE6">
      <w:pPr>
        <w:pStyle w:val="berschrift3"/>
        <w:rPr>
          <w:szCs w:val="24"/>
          <w:lang w:val="de-AT"/>
        </w:rPr>
      </w:pPr>
      <w:r w:rsidRPr="001C2D17">
        <w:rPr>
          <w:szCs w:val="24"/>
          <w:lang w:val="de-AT"/>
        </w:rPr>
        <w:t>Rückversicherung hinsichtlich der Gelöbnisformel</w:t>
      </w:r>
    </w:p>
    <w:p w14:paraId="0338677E" w14:textId="77777777" w:rsidR="00436FE6" w:rsidRDefault="00436FE6" w:rsidP="00436FE6">
      <w:pPr>
        <w:tabs>
          <w:tab w:val="left" w:pos="7695"/>
        </w:tabs>
        <w:rPr>
          <w:rFonts w:cs="Times New Roman"/>
          <w:szCs w:val="24"/>
          <w:lang w:val="de-AT"/>
        </w:rPr>
      </w:pPr>
      <w:r w:rsidRPr="006026DC">
        <w:rPr>
          <w:rFonts w:cs="Times New Roman"/>
          <w:szCs w:val="24"/>
          <w:lang w:val="de-AT"/>
        </w:rPr>
        <w:t>Die Beamten und Angestellten eines Steuerreferates in Deutschböhmen frag</w:t>
      </w:r>
      <w:r>
        <w:rPr>
          <w:rFonts w:cs="Times New Roman"/>
          <w:szCs w:val="24"/>
          <w:lang w:val="de-AT"/>
        </w:rPr>
        <w:t>t</w:t>
      </w:r>
      <w:r w:rsidRPr="006026DC">
        <w:rPr>
          <w:rFonts w:cs="Times New Roman"/>
          <w:szCs w:val="24"/>
          <w:lang w:val="de-AT"/>
        </w:rPr>
        <w:t xml:space="preserve">en an, ob </w:t>
      </w:r>
      <w:r>
        <w:rPr>
          <w:rFonts w:cs="Times New Roman"/>
          <w:szCs w:val="24"/>
          <w:lang w:val="de-AT"/>
        </w:rPr>
        <w:t>eine</w:t>
      </w:r>
      <w:r w:rsidRPr="006026DC">
        <w:rPr>
          <w:rFonts w:cs="Times New Roman"/>
          <w:szCs w:val="24"/>
          <w:lang w:val="de-AT"/>
        </w:rPr>
        <w:t xml:space="preserve"> von der tschecho-slowakischen Regierung den Beamten und sonstigen Ange</w:t>
      </w:r>
      <w:r>
        <w:rPr>
          <w:rFonts w:cs="Times New Roman"/>
          <w:szCs w:val="24"/>
          <w:lang w:val="de-AT"/>
        </w:rPr>
        <w:t>stellten abgeforderte Erklärung</w:t>
      </w:r>
      <w:r w:rsidRPr="006026DC">
        <w:rPr>
          <w:rFonts w:cs="Times New Roman"/>
          <w:szCs w:val="24"/>
          <w:lang w:val="de-AT"/>
        </w:rPr>
        <w:t xml:space="preserve"> „ohne nachteilige Folgen für die weitere Existenz im Hinblick auf das Verhältnis zum deutschösterreichischen Staate</w:t>
      </w:r>
      <w:r>
        <w:rPr>
          <w:rFonts w:cs="Times New Roman"/>
          <w:szCs w:val="24"/>
          <w:lang w:val="de-AT"/>
        </w:rPr>
        <w:t xml:space="preserve">“ </w:t>
      </w:r>
      <w:r w:rsidRPr="006026DC">
        <w:rPr>
          <w:rFonts w:cs="Times New Roman"/>
          <w:szCs w:val="24"/>
          <w:lang w:val="de-AT"/>
        </w:rPr>
        <w:t>untersc</w:t>
      </w:r>
      <w:r>
        <w:rPr>
          <w:rFonts w:cs="Times New Roman"/>
          <w:szCs w:val="24"/>
          <w:lang w:val="de-AT"/>
        </w:rPr>
        <w:t xml:space="preserve">hrieben werden könne. Diese </w:t>
      </w:r>
      <w:r w:rsidRPr="006026DC">
        <w:rPr>
          <w:rFonts w:cs="Times New Roman"/>
          <w:szCs w:val="24"/>
          <w:lang w:val="de-AT"/>
        </w:rPr>
        <w:t>lautet</w:t>
      </w:r>
      <w:r>
        <w:rPr>
          <w:rFonts w:cs="Times New Roman"/>
          <w:szCs w:val="24"/>
          <w:lang w:val="de-AT"/>
        </w:rPr>
        <w:t>e</w:t>
      </w:r>
      <w:r w:rsidRPr="006026DC">
        <w:rPr>
          <w:rFonts w:cs="Times New Roman"/>
          <w:szCs w:val="24"/>
          <w:lang w:val="de-AT"/>
        </w:rPr>
        <w:t>:</w:t>
      </w:r>
    </w:p>
    <w:p w14:paraId="0FABAA66" w14:textId="77777777" w:rsidR="00436FE6" w:rsidRDefault="00436FE6" w:rsidP="00436FE6">
      <w:pPr>
        <w:tabs>
          <w:tab w:val="left" w:pos="7695"/>
        </w:tabs>
        <w:rPr>
          <w:rFonts w:cs="Times New Roman"/>
          <w:szCs w:val="24"/>
          <w:lang w:val="de-AT"/>
        </w:rPr>
      </w:pPr>
    </w:p>
    <w:p w14:paraId="25E6FD41" w14:textId="58CC966B" w:rsidR="00436FE6" w:rsidRDefault="00436FE6" w:rsidP="00436FE6">
      <w:pPr>
        <w:tabs>
          <w:tab w:val="left" w:pos="7695"/>
        </w:tabs>
        <w:ind w:left="567" w:right="567"/>
        <w:rPr>
          <w:rFonts w:cs="Times New Roman"/>
          <w:sz w:val="20"/>
          <w:lang w:val="de-AT"/>
        </w:rPr>
      </w:pPr>
      <w:r w:rsidRPr="001C2D17">
        <w:rPr>
          <w:rFonts w:cs="Times New Roman"/>
          <w:sz w:val="20"/>
          <w:lang w:val="de-AT"/>
        </w:rPr>
        <w:t>Die Gefertigten geben freiwillig und ohne jede Beeinflussung folgende Erklärung ab: „Wir verpflichten uns mit Handschlag mit Rücksicht auf die geänderten Verhältnisse bis auf weiteres der Finanz-Landesdirektion in Prag treu und redlich zu dienen, die geltenden Gesetze der tschecho-slowakischen Republik sowie die Anordnungen der Finanz-Landesdirektion in Prag genau zu beobachten, nach Anlass amtszuhandeln und das Amtsgeheimnis strenge zu wahren</w:t>
      </w:r>
      <w:r w:rsidRPr="001C2D17">
        <w:rPr>
          <w:rStyle w:val="Funotenzeichen"/>
          <w:rFonts w:cs="Times New Roman"/>
          <w:sz w:val="20"/>
          <w:szCs w:val="20"/>
          <w:lang w:val="de-AT"/>
        </w:rPr>
        <w:footnoteReference w:id="51"/>
      </w:r>
      <w:r w:rsidRPr="001C2D17">
        <w:rPr>
          <w:rFonts w:cs="Times New Roman"/>
          <w:sz w:val="20"/>
          <w:lang w:val="de-AT"/>
        </w:rPr>
        <w:t>.</w:t>
      </w:r>
    </w:p>
    <w:p w14:paraId="47B4C8F2" w14:textId="77777777" w:rsidR="00436FE6" w:rsidRPr="001C2D17" w:rsidRDefault="00436FE6" w:rsidP="00436FE6">
      <w:pPr>
        <w:tabs>
          <w:tab w:val="left" w:pos="7695"/>
        </w:tabs>
        <w:ind w:left="567" w:right="567"/>
        <w:rPr>
          <w:rFonts w:cs="Times New Roman"/>
          <w:sz w:val="20"/>
          <w:lang w:val="de-AT"/>
        </w:rPr>
      </w:pPr>
    </w:p>
    <w:p w14:paraId="298E6E19" w14:textId="60C44FFE" w:rsidR="00436FE6" w:rsidRDefault="00436FE6" w:rsidP="00436FE6">
      <w:pPr>
        <w:tabs>
          <w:tab w:val="left" w:pos="7695"/>
        </w:tabs>
        <w:rPr>
          <w:rFonts w:cs="Times New Roman"/>
          <w:szCs w:val="24"/>
          <w:lang w:val="de-AT"/>
        </w:rPr>
      </w:pPr>
      <w:r w:rsidRPr="006026DC">
        <w:rPr>
          <w:rFonts w:cs="Times New Roman"/>
          <w:szCs w:val="24"/>
          <w:lang w:val="de-AT"/>
        </w:rPr>
        <w:lastRenderedPageBreak/>
        <w:t xml:space="preserve">Das zwischenstaatsamtliche Komitee erhob keine Einwände gegen die Abgabe einer solchen Erklärung. </w:t>
      </w:r>
      <w:r w:rsidR="00CC323E">
        <w:rPr>
          <w:rFonts w:cs="Times New Roman"/>
          <w:szCs w:val="24"/>
          <w:lang w:val="de-AT"/>
        </w:rPr>
        <w:t>Bemerkenswert ist</w:t>
      </w:r>
      <w:r>
        <w:rPr>
          <w:rFonts w:cs="Times New Roman"/>
          <w:szCs w:val="24"/>
          <w:lang w:val="de-AT"/>
        </w:rPr>
        <w:t>, dass die Treue</w:t>
      </w:r>
      <w:r w:rsidRPr="006026DC">
        <w:rPr>
          <w:rFonts w:cs="Times New Roman"/>
          <w:szCs w:val="24"/>
          <w:lang w:val="de-AT"/>
        </w:rPr>
        <w:t xml:space="preserve"> </w:t>
      </w:r>
      <w:r w:rsidR="00CC323E">
        <w:rPr>
          <w:rFonts w:cs="Times New Roman"/>
          <w:szCs w:val="24"/>
          <w:lang w:val="de-AT"/>
        </w:rPr>
        <w:t xml:space="preserve">hier </w:t>
      </w:r>
      <w:r w:rsidRPr="006026DC">
        <w:rPr>
          <w:rFonts w:cs="Times New Roman"/>
          <w:szCs w:val="24"/>
          <w:lang w:val="de-AT"/>
        </w:rPr>
        <w:t>der Behörde, nicht aber dem Staat zugesagt</w:t>
      </w:r>
      <w:r>
        <w:rPr>
          <w:rFonts w:cs="Times New Roman"/>
          <w:szCs w:val="24"/>
          <w:lang w:val="de-AT"/>
        </w:rPr>
        <w:t xml:space="preserve"> wird</w:t>
      </w:r>
      <w:r w:rsidR="00CC323E">
        <w:rPr>
          <w:rFonts w:cs="Times New Roman"/>
          <w:szCs w:val="24"/>
          <w:lang w:val="de-AT"/>
        </w:rPr>
        <w:t>, und dass es sich dabei um eine Erklärung, nicht um ein Gelöbnis handelt.</w:t>
      </w:r>
    </w:p>
    <w:p w14:paraId="7D8DC719" w14:textId="77777777" w:rsidR="00436FE6" w:rsidRPr="006026DC" w:rsidRDefault="00436FE6" w:rsidP="00436FE6">
      <w:pPr>
        <w:tabs>
          <w:tab w:val="left" w:pos="7695"/>
        </w:tabs>
        <w:rPr>
          <w:rFonts w:cs="Times New Roman"/>
          <w:szCs w:val="24"/>
          <w:lang w:val="de-AT"/>
        </w:rPr>
      </w:pPr>
    </w:p>
    <w:p w14:paraId="58228A80" w14:textId="77777777" w:rsidR="00436FE6" w:rsidRPr="001C2D17" w:rsidRDefault="00436FE6" w:rsidP="00436FE6">
      <w:pPr>
        <w:pStyle w:val="berschrift3"/>
        <w:rPr>
          <w:lang w:val="de-AT"/>
        </w:rPr>
      </w:pPr>
      <w:r>
        <w:rPr>
          <w:lang w:val="de-AT"/>
        </w:rPr>
        <w:t>Dienst unter e</w:t>
      </w:r>
      <w:r w:rsidRPr="001C2D17">
        <w:rPr>
          <w:lang w:val="de-AT"/>
        </w:rPr>
        <w:t>rschwerte</w:t>
      </w:r>
      <w:r>
        <w:rPr>
          <w:lang w:val="de-AT"/>
        </w:rPr>
        <w:t>n</w:t>
      </w:r>
      <w:r w:rsidRPr="001C2D17">
        <w:rPr>
          <w:lang w:val="de-AT"/>
        </w:rPr>
        <w:t xml:space="preserve"> Bedingungen</w:t>
      </w:r>
    </w:p>
    <w:p w14:paraId="40282D09" w14:textId="77777777" w:rsidR="00436FE6" w:rsidRDefault="00436FE6" w:rsidP="00436FE6">
      <w:pPr>
        <w:tabs>
          <w:tab w:val="left" w:pos="7695"/>
        </w:tabs>
        <w:rPr>
          <w:rFonts w:cs="Times New Roman"/>
          <w:szCs w:val="24"/>
          <w:lang w:val="de-AT"/>
        </w:rPr>
      </w:pPr>
      <w:r>
        <w:rPr>
          <w:rFonts w:cs="Times New Roman"/>
          <w:szCs w:val="24"/>
          <w:lang w:val="de-AT"/>
        </w:rPr>
        <w:t>Mitunter wurde Staatsbediensteten das Verbleiben im Dienst schwer gemacht. So berichtete das Staatsamt für Finanzen</w:t>
      </w:r>
    </w:p>
    <w:p w14:paraId="51E18405" w14:textId="77777777" w:rsidR="00436FE6" w:rsidRDefault="00436FE6" w:rsidP="00436FE6">
      <w:pPr>
        <w:tabs>
          <w:tab w:val="left" w:pos="7695"/>
        </w:tabs>
        <w:rPr>
          <w:rFonts w:cs="Times New Roman"/>
          <w:szCs w:val="24"/>
          <w:lang w:val="de-AT"/>
        </w:rPr>
      </w:pPr>
    </w:p>
    <w:p w14:paraId="6054989F" w14:textId="6B725936" w:rsidR="00436FE6" w:rsidRDefault="00436FE6" w:rsidP="00436FE6">
      <w:pPr>
        <w:tabs>
          <w:tab w:val="left" w:pos="7695"/>
        </w:tabs>
        <w:ind w:left="567" w:right="567"/>
        <w:rPr>
          <w:rFonts w:cs="Times New Roman"/>
          <w:sz w:val="20"/>
          <w:lang w:val="de-AT"/>
        </w:rPr>
      </w:pPr>
      <w:r w:rsidRPr="00857991">
        <w:rPr>
          <w:rFonts w:cs="Times New Roman"/>
          <w:sz w:val="20"/>
          <w:lang w:val="de-AT"/>
        </w:rPr>
        <w:t>ein Steueramtsbeamter deutscher Nationalität, der das Gelöbnis für den deutschösterreichischen Staat abgelegt hat und seinen Amtssitz in einem von Deutschösterreich in Anspruch genommenen, jedoch von der tschecho-slovakischen Regierung besetzten Ort hat, wurde von der tschecho-slovakischen Regierung allerdings des Dienstes nicht enthoben, jedoch von seinem bisherigen Dienstort in einen rein tschechischen Dienstort versetzt. Er sei der tschechischen Sprache nicht mächtig und habe aus diesem Grunde im neuen Dienstorte seine Entlassung ehebaldigst zu erwarten</w:t>
      </w:r>
      <w:r w:rsidRPr="00857991">
        <w:rPr>
          <w:rStyle w:val="Funotenzeichen"/>
          <w:rFonts w:cs="Times New Roman"/>
          <w:sz w:val="20"/>
          <w:szCs w:val="20"/>
          <w:lang w:val="de-AT"/>
        </w:rPr>
        <w:footnoteReference w:id="52"/>
      </w:r>
      <w:r w:rsidRPr="00857991">
        <w:rPr>
          <w:rFonts w:cs="Times New Roman"/>
          <w:sz w:val="20"/>
          <w:lang w:val="de-AT"/>
        </w:rPr>
        <w:t xml:space="preserve">. </w:t>
      </w:r>
    </w:p>
    <w:p w14:paraId="77321DDA" w14:textId="77777777" w:rsidR="00436FE6" w:rsidRPr="00857991" w:rsidRDefault="00436FE6" w:rsidP="00436FE6">
      <w:pPr>
        <w:tabs>
          <w:tab w:val="left" w:pos="7695"/>
        </w:tabs>
        <w:ind w:left="567" w:right="567"/>
        <w:rPr>
          <w:rFonts w:cs="Times New Roman"/>
          <w:sz w:val="20"/>
          <w:lang w:val="de-AT"/>
        </w:rPr>
      </w:pPr>
    </w:p>
    <w:p w14:paraId="286FEA40" w14:textId="5012AADF" w:rsidR="00436FE6" w:rsidRDefault="00436FE6" w:rsidP="00436FE6">
      <w:pPr>
        <w:tabs>
          <w:tab w:val="left" w:pos="7695"/>
        </w:tabs>
        <w:rPr>
          <w:rFonts w:cs="Times New Roman"/>
          <w:szCs w:val="24"/>
          <w:lang w:val="de-AT"/>
        </w:rPr>
      </w:pPr>
      <w:r w:rsidRPr="006026DC">
        <w:rPr>
          <w:rFonts w:cs="Times New Roman"/>
          <w:szCs w:val="24"/>
          <w:lang w:val="de-AT"/>
        </w:rPr>
        <w:t>Der Beamte ersuchte um Versetzung an einen Dienstort „im</w:t>
      </w:r>
      <w:r>
        <w:rPr>
          <w:rFonts w:cs="Times New Roman"/>
          <w:szCs w:val="24"/>
          <w:lang w:val="de-AT"/>
        </w:rPr>
        <w:t xml:space="preserve"> unumstrittenen Gebiet“. Dies wu</w:t>
      </w:r>
      <w:r w:rsidRPr="006026DC">
        <w:rPr>
          <w:rFonts w:cs="Times New Roman"/>
          <w:szCs w:val="24"/>
          <w:lang w:val="de-AT"/>
        </w:rPr>
        <w:t>rd</w:t>
      </w:r>
      <w:r>
        <w:rPr>
          <w:rFonts w:cs="Times New Roman"/>
          <w:szCs w:val="24"/>
          <w:lang w:val="de-AT"/>
        </w:rPr>
        <w:t>e</w:t>
      </w:r>
      <w:r w:rsidRPr="006026DC">
        <w:rPr>
          <w:rFonts w:cs="Times New Roman"/>
          <w:szCs w:val="24"/>
          <w:lang w:val="de-AT"/>
        </w:rPr>
        <w:t xml:space="preserve"> ihm für den Fall des erzwungenen Ausscheidens zugesagt.</w:t>
      </w:r>
    </w:p>
    <w:p w14:paraId="2C2DBE06" w14:textId="77777777" w:rsidR="00436FE6" w:rsidRPr="006026DC" w:rsidRDefault="00436FE6" w:rsidP="00436FE6">
      <w:pPr>
        <w:tabs>
          <w:tab w:val="left" w:pos="7695"/>
        </w:tabs>
        <w:rPr>
          <w:rFonts w:cs="Times New Roman"/>
          <w:szCs w:val="24"/>
          <w:lang w:val="de-AT"/>
        </w:rPr>
      </w:pPr>
    </w:p>
    <w:p w14:paraId="2DEC922D" w14:textId="77777777" w:rsidR="00436FE6" w:rsidRPr="006026DC" w:rsidRDefault="00436FE6" w:rsidP="00436FE6">
      <w:pPr>
        <w:pStyle w:val="berschrift2"/>
        <w:ind w:firstLine="0"/>
        <w:jc w:val="left"/>
        <w:rPr>
          <w:lang w:val="de-AT"/>
        </w:rPr>
      </w:pPr>
      <w:r w:rsidRPr="006026DC">
        <w:rPr>
          <w:lang w:val="de-AT"/>
        </w:rPr>
        <w:t>Schluss</w:t>
      </w:r>
    </w:p>
    <w:p w14:paraId="67B0875C" w14:textId="663DA341" w:rsidR="00436FE6" w:rsidRDefault="00436FE6" w:rsidP="00436FE6">
      <w:pPr>
        <w:tabs>
          <w:tab w:val="left" w:pos="7695"/>
        </w:tabs>
        <w:rPr>
          <w:rFonts w:cs="Times New Roman"/>
          <w:szCs w:val="24"/>
          <w:lang w:val="de-AT"/>
        </w:rPr>
      </w:pPr>
      <w:r w:rsidRPr="006026DC">
        <w:rPr>
          <w:rFonts w:cs="Times New Roman"/>
          <w:szCs w:val="24"/>
          <w:lang w:val="de-AT"/>
        </w:rPr>
        <w:t>Der Vertrag von Saint-Germain-en-Laye, der die Grenzen der Republik Österreich festlegte, wurde im September 1919 unterzeichnet und trat im Juli 1920 in Kraft. Eine endgültige gesetz</w:t>
      </w:r>
      <w:r>
        <w:rPr>
          <w:rFonts w:cs="Times New Roman"/>
          <w:szCs w:val="24"/>
          <w:lang w:val="de-AT"/>
        </w:rPr>
        <w:t>liche Regelung, die regelte, welche Staatsbediensteten</w:t>
      </w:r>
      <w:r w:rsidRPr="006026DC">
        <w:rPr>
          <w:rFonts w:cs="Times New Roman"/>
          <w:szCs w:val="24"/>
          <w:lang w:val="de-AT"/>
        </w:rPr>
        <w:t xml:space="preserve"> de jure als vertrieben galt, wurde im Juli 1920 diskutiert und im Oktober 1920 beschlossen. Insgesamt ging es um keine besonders große Zahl</w:t>
      </w:r>
      <w:r>
        <w:rPr>
          <w:rFonts w:cs="Times New Roman"/>
          <w:szCs w:val="24"/>
          <w:lang w:val="de-AT"/>
        </w:rPr>
        <w:t xml:space="preserve"> von Personen</w:t>
      </w:r>
      <w:r w:rsidRPr="006026DC">
        <w:rPr>
          <w:rFonts w:cs="Times New Roman"/>
          <w:szCs w:val="24"/>
          <w:lang w:val="de-AT"/>
        </w:rPr>
        <w:t>: laut dem Endbericht der Schutzstelle wurden bis 1921 1733 Staatsbedienstete von dieser betreut, die meisten davon wurden in den Staatsdienst der Republik übernommen. Dazu kamen nach Angaben des Staatsamtes für Verkehr noch etwa 4000 Eisenbahnbedienstete</w:t>
      </w:r>
      <w:r w:rsidRPr="006026DC">
        <w:rPr>
          <w:rStyle w:val="Funotenzeichen"/>
          <w:rFonts w:cs="Times New Roman"/>
          <w:lang w:val="de-AT"/>
        </w:rPr>
        <w:footnoteReference w:id="53"/>
      </w:r>
      <w:r w:rsidRPr="006026DC">
        <w:rPr>
          <w:rFonts w:cs="Times New Roman"/>
          <w:szCs w:val="24"/>
          <w:lang w:val="de-AT"/>
        </w:rPr>
        <w:t xml:space="preserve">. </w:t>
      </w:r>
    </w:p>
    <w:p w14:paraId="371177EA" w14:textId="77777777" w:rsidR="00436FE6" w:rsidRDefault="00436FE6" w:rsidP="00436FE6">
      <w:pPr>
        <w:tabs>
          <w:tab w:val="left" w:pos="7695"/>
        </w:tabs>
        <w:rPr>
          <w:rFonts w:cs="Times New Roman"/>
          <w:szCs w:val="24"/>
          <w:lang w:val="de-AT"/>
        </w:rPr>
      </w:pPr>
    </w:p>
    <w:p w14:paraId="7A45CB68" w14:textId="3DF6DD13" w:rsidR="00436FE6" w:rsidRPr="006026DC" w:rsidRDefault="00436FE6" w:rsidP="00436FE6">
      <w:pPr>
        <w:tabs>
          <w:tab w:val="left" w:pos="7695"/>
        </w:tabs>
        <w:rPr>
          <w:rFonts w:cs="Times New Roman"/>
          <w:szCs w:val="24"/>
          <w:lang w:val="de-AT"/>
        </w:rPr>
      </w:pPr>
      <w:r w:rsidRPr="006026DC">
        <w:rPr>
          <w:rFonts w:cs="Times New Roman"/>
          <w:szCs w:val="24"/>
          <w:lang w:val="de-AT"/>
        </w:rPr>
        <w:t>Der Diensteid wurde</w:t>
      </w:r>
      <w:r w:rsidR="00CC323E">
        <w:rPr>
          <w:rFonts w:cs="Times New Roman"/>
          <w:szCs w:val="24"/>
          <w:lang w:val="de-AT"/>
        </w:rPr>
        <w:t xml:space="preserve"> i</w:t>
      </w:r>
      <w:r>
        <w:rPr>
          <w:rFonts w:cs="Times New Roman"/>
          <w:szCs w:val="24"/>
          <w:lang w:val="de-AT"/>
        </w:rPr>
        <w:t>m Kontext</w:t>
      </w:r>
      <w:r w:rsidR="00CC323E">
        <w:rPr>
          <w:rFonts w:cs="Times New Roman"/>
          <w:szCs w:val="24"/>
          <w:lang w:val="de-AT"/>
        </w:rPr>
        <w:t xml:space="preserve"> einer Periode der Ungewissheit über die staatliche Zugehörigkeit</w:t>
      </w:r>
      <w:r>
        <w:rPr>
          <w:rFonts w:cs="Times New Roman"/>
          <w:szCs w:val="24"/>
          <w:lang w:val="de-AT"/>
        </w:rPr>
        <w:t xml:space="preserve"> gewissermaßen</w:t>
      </w:r>
      <w:r w:rsidRPr="006026DC">
        <w:rPr>
          <w:rFonts w:cs="Times New Roman"/>
          <w:szCs w:val="24"/>
          <w:lang w:val="de-AT"/>
        </w:rPr>
        <w:t xml:space="preserve"> in seine Einzelteile zerlegt und bei B</w:t>
      </w:r>
      <w:r w:rsidR="00CC323E">
        <w:rPr>
          <w:rFonts w:cs="Times New Roman"/>
          <w:szCs w:val="24"/>
          <w:lang w:val="de-AT"/>
        </w:rPr>
        <w:t>edarf auf ein Minimum reduziert. So wurde etwa lediglich Treue gegenüber ein</w:t>
      </w:r>
      <w:r w:rsidRPr="006026DC">
        <w:rPr>
          <w:rFonts w:cs="Times New Roman"/>
          <w:szCs w:val="24"/>
          <w:lang w:val="de-AT"/>
        </w:rPr>
        <w:t>er Behörde und Erledigung der Dienstpflichten gelobt</w:t>
      </w:r>
      <w:r w:rsidR="00CC323E">
        <w:rPr>
          <w:rFonts w:cs="Times New Roman"/>
          <w:szCs w:val="24"/>
          <w:lang w:val="de-AT"/>
        </w:rPr>
        <w:t xml:space="preserve"> oder </w:t>
      </w:r>
      <w:r>
        <w:rPr>
          <w:rFonts w:cs="Times New Roman"/>
          <w:szCs w:val="24"/>
          <w:lang w:val="de-AT"/>
        </w:rPr>
        <w:t>nur eine Erklärung abgegeben</w:t>
      </w:r>
      <w:r w:rsidRPr="006026DC">
        <w:rPr>
          <w:rFonts w:cs="Times New Roman"/>
          <w:szCs w:val="24"/>
          <w:lang w:val="de-AT"/>
        </w:rPr>
        <w:t>. Unter Zwang</w:t>
      </w:r>
      <w:r w:rsidR="00FB3F11">
        <w:rPr>
          <w:rFonts w:cs="Times New Roman"/>
          <w:szCs w:val="24"/>
          <w:lang w:val="de-AT"/>
        </w:rPr>
        <w:t xml:space="preserve"> für einen anderen Staat</w:t>
      </w:r>
      <w:r w:rsidRPr="006026DC">
        <w:rPr>
          <w:rFonts w:cs="Times New Roman"/>
          <w:szCs w:val="24"/>
          <w:lang w:val="de-AT"/>
        </w:rPr>
        <w:t xml:space="preserve"> abgelegte Gelöbnisse konnten, wenn die Zwangsl</w:t>
      </w:r>
      <w:r w:rsidR="00CC323E">
        <w:rPr>
          <w:rFonts w:cs="Times New Roman"/>
          <w:szCs w:val="24"/>
          <w:lang w:val="de-AT"/>
        </w:rPr>
        <w:t>age hinreichend nachgewiesen werden konnte</w:t>
      </w:r>
      <w:r w:rsidRPr="006026DC">
        <w:rPr>
          <w:rFonts w:cs="Times New Roman"/>
          <w:szCs w:val="24"/>
          <w:lang w:val="de-AT"/>
        </w:rPr>
        <w:t>, als wirkungslos angesehen werden.</w:t>
      </w:r>
      <w:r>
        <w:rPr>
          <w:rFonts w:cs="Times New Roman"/>
          <w:szCs w:val="24"/>
          <w:lang w:val="de-AT"/>
        </w:rPr>
        <w:t xml:space="preserve"> Es</w:t>
      </w:r>
      <w:r w:rsidRPr="006026DC">
        <w:rPr>
          <w:rFonts w:cs="Times New Roman"/>
          <w:szCs w:val="24"/>
          <w:lang w:val="de-AT"/>
        </w:rPr>
        <w:t xml:space="preserve"> lässt sich </w:t>
      </w:r>
      <w:r>
        <w:rPr>
          <w:rFonts w:cs="Times New Roman"/>
          <w:szCs w:val="24"/>
          <w:lang w:val="de-AT"/>
        </w:rPr>
        <w:t xml:space="preserve">also </w:t>
      </w:r>
      <w:r w:rsidRPr="006026DC">
        <w:rPr>
          <w:rFonts w:cs="Times New Roman"/>
          <w:szCs w:val="24"/>
          <w:lang w:val="de-AT"/>
        </w:rPr>
        <w:t>beobachten, dass in politisch turbulenten Situation</w:t>
      </w:r>
      <w:r>
        <w:rPr>
          <w:rFonts w:cs="Times New Roman"/>
          <w:szCs w:val="24"/>
          <w:lang w:val="de-AT"/>
        </w:rPr>
        <w:t xml:space="preserve">en die Wirksamkeit feierlicher Versprechen fragwürdig wird. Für den Staat Deutschösterreich war </w:t>
      </w:r>
      <w:r w:rsidR="00CC323E">
        <w:rPr>
          <w:rFonts w:cs="Times New Roman"/>
          <w:szCs w:val="24"/>
          <w:lang w:val="de-AT"/>
        </w:rPr>
        <w:t xml:space="preserve">zudem </w:t>
      </w:r>
      <w:r>
        <w:rPr>
          <w:rFonts w:cs="Times New Roman"/>
          <w:szCs w:val="24"/>
          <w:lang w:val="de-AT"/>
        </w:rPr>
        <w:t>zeitweise, so scheint es, das Verbleiben der Staatsbediensteten am umstrittenen Dienstort eine Treuebekundung mit mindestens so viel Gewicht wie ein ausgesprochenes Gelöbnis.</w:t>
      </w:r>
    </w:p>
    <w:p w14:paraId="67C34ABA" w14:textId="77777777" w:rsidR="00436FE6" w:rsidRPr="006026DC" w:rsidRDefault="00436FE6" w:rsidP="00E17C7D">
      <w:pPr>
        <w:rPr>
          <w:rFonts w:cs="Times New Roman"/>
          <w:szCs w:val="24"/>
          <w:lang w:val="de-AT"/>
        </w:rPr>
      </w:pPr>
    </w:p>
    <w:p w14:paraId="590A1E25" w14:textId="4AF80AF1" w:rsidR="00D75B54" w:rsidRPr="00392D51" w:rsidRDefault="009237A2" w:rsidP="009237A2">
      <w:pPr>
        <w:pStyle w:val="berschrift2"/>
        <w:rPr>
          <w:lang w:val="en-US"/>
        </w:rPr>
      </w:pPr>
      <w:r w:rsidRPr="00392D51">
        <w:rPr>
          <w:lang w:val="en-US"/>
        </w:rPr>
        <w:t>Bibliographie :</w:t>
      </w:r>
    </w:p>
    <w:p w14:paraId="600DAEEC" w14:textId="31899AEC" w:rsidR="00E263D4" w:rsidRPr="006026DC" w:rsidRDefault="00E263D4" w:rsidP="00E263D4">
      <w:pPr>
        <w:rPr>
          <w:rFonts w:cs="Times New Roman"/>
          <w:szCs w:val="24"/>
          <w:lang w:val="de-AT"/>
        </w:rPr>
      </w:pPr>
      <w:r w:rsidRPr="006026DC">
        <w:rPr>
          <w:rFonts w:cs="Times New Roman"/>
          <w:smallCaps/>
          <w:szCs w:val="24"/>
          <w:lang w:val="de-AT"/>
        </w:rPr>
        <w:t>Becker</w:t>
      </w:r>
      <w:r w:rsidRPr="006026DC">
        <w:rPr>
          <w:rFonts w:cs="Times New Roman"/>
          <w:szCs w:val="24"/>
          <w:lang w:val="de-AT"/>
        </w:rPr>
        <w:t xml:space="preserve"> Christoph, „Gelöbnis“ </w:t>
      </w:r>
      <w:r w:rsidR="00B76C00" w:rsidRPr="00F2085A">
        <w:rPr>
          <w:i/>
          <w:lang w:val="de-AT"/>
        </w:rPr>
        <w:t>in</w:t>
      </w:r>
      <w:r w:rsidR="00B76C00" w:rsidRPr="006026DC">
        <w:rPr>
          <w:lang w:val="de-AT"/>
        </w:rPr>
        <w:t xml:space="preserve"> </w:t>
      </w:r>
      <w:r w:rsidR="00B76C00">
        <w:rPr>
          <w:lang w:val="de-AT"/>
        </w:rPr>
        <w:t>Albrecht Cordes u. a. (Hg.),</w:t>
      </w:r>
      <w:r w:rsidRPr="006026DC">
        <w:rPr>
          <w:rFonts w:cs="Times New Roman"/>
          <w:szCs w:val="24"/>
          <w:lang w:val="de-AT"/>
        </w:rPr>
        <w:t xml:space="preserve"> </w:t>
      </w:r>
      <w:r w:rsidRPr="006026DC">
        <w:rPr>
          <w:rFonts w:cs="Times New Roman"/>
          <w:i/>
          <w:szCs w:val="24"/>
          <w:lang w:val="de-AT"/>
        </w:rPr>
        <w:t>Handwörterbuch zur Deutschen Rechtsgeschichte</w:t>
      </w:r>
      <w:r w:rsidRPr="006026DC">
        <w:rPr>
          <w:rFonts w:cs="Times New Roman"/>
          <w:szCs w:val="24"/>
          <w:lang w:val="de-AT"/>
        </w:rPr>
        <w:t>, Band II, Berlin, Erich Schmidt Verlag, 2012, S. 44-47.</w:t>
      </w:r>
    </w:p>
    <w:p w14:paraId="07FC8B79" w14:textId="122ABDC7" w:rsidR="00E263D4" w:rsidRPr="006026DC" w:rsidRDefault="00E263D4" w:rsidP="00E263D4">
      <w:pPr>
        <w:rPr>
          <w:rFonts w:cs="Times New Roman"/>
          <w:szCs w:val="24"/>
          <w:lang w:val="de-AT"/>
        </w:rPr>
      </w:pPr>
      <w:r w:rsidRPr="006026DC">
        <w:rPr>
          <w:rFonts w:cs="Times New Roman"/>
          <w:smallCaps/>
          <w:szCs w:val="24"/>
          <w:lang w:val="de-AT"/>
        </w:rPr>
        <w:lastRenderedPageBreak/>
        <w:t xml:space="preserve">Burkert </w:t>
      </w:r>
      <w:r w:rsidRPr="006026DC">
        <w:rPr>
          <w:rFonts w:cs="Times New Roman"/>
          <w:szCs w:val="24"/>
          <w:lang w:val="de-AT"/>
        </w:rPr>
        <w:t>Günther R., „‚Eine Welt ist untergegangen‘. Markante Jahre der österreichischen Geschichte in Briefen, Tagebüchern, Erinnerung und schriftstellerischen Versuchen österreichischer Beamter des 20. Jahrhunderts“</w:t>
      </w:r>
      <w:r w:rsidR="00443983">
        <w:rPr>
          <w:rFonts w:cs="Times New Roman"/>
          <w:szCs w:val="24"/>
          <w:lang w:val="de-AT"/>
        </w:rPr>
        <w:t>,</w:t>
      </w:r>
      <w:r w:rsidRPr="006026DC">
        <w:rPr>
          <w:rFonts w:cs="Times New Roman"/>
          <w:szCs w:val="24"/>
          <w:lang w:val="de-AT"/>
        </w:rPr>
        <w:t xml:space="preserve"> </w:t>
      </w:r>
      <w:r w:rsidRPr="006026DC">
        <w:rPr>
          <w:rFonts w:cs="Times New Roman"/>
          <w:i/>
          <w:szCs w:val="24"/>
          <w:lang w:val="de-AT"/>
        </w:rPr>
        <w:t xml:space="preserve">Geschichte und Gegenwart: Vierteljahreshefte für Zeitgeschichte </w:t>
      </w:r>
      <w:r w:rsidRPr="006026DC">
        <w:rPr>
          <w:rFonts w:cs="Times New Roman"/>
          <w:szCs w:val="24"/>
          <w:lang w:val="de-AT"/>
        </w:rPr>
        <w:t>3/1990, S. 197-224.</w:t>
      </w:r>
    </w:p>
    <w:p w14:paraId="7E7F5E78" w14:textId="77777777" w:rsidR="00E263D4" w:rsidRPr="006026DC" w:rsidRDefault="00E263D4" w:rsidP="00E263D4">
      <w:pPr>
        <w:rPr>
          <w:rFonts w:cs="Times New Roman"/>
          <w:szCs w:val="24"/>
          <w:lang w:val="de-AT"/>
        </w:rPr>
      </w:pPr>
      <w:r w:rsidRPr="006026DC">
        <w:rPr>
          <w:rFonts w:cs="Times New Roman"/>
          <w:smallCaps/>
          <w:szCs w:val="24"/>
          <w:lang w:val="de-AT"/>
        </w:rPr>
        <w:t>Conze</w:t>
      </w:r>
      <w:r w:rsidRPr="006026DC">
        <w:rPr>
          <w:rFonts w:cs="Times New Roman"/>
          <w:szCs w:val="24"/>
          <w:lang w:val="de-AT"/>
        </w:rPr>
        <w:t xml:space="preserve"> Vanessa, „Treue schwören. Der Konflikt um den Verfassungseid in der Weimarer Republik“, </w:t>
      </w:r>
      <w:r w:rsidRPr="006026DC">
        <w:rPr>
          <w:rFonts w:cs="Times New Roman"/>
          <w:i/>
          <w:szCs w:val="24"/>
          <w:lang w:val="de-AT"/>
        </w:rPr>
        <w:t>Historische Zeitschrift</w:t>
      </w:r>
      <w:r w:rsidRPr="006026DC">
        <w:rPr>
          <w:rFonts w:cs="Times New Roman"/>
          <w:szCs w:val="24"/>
          <w:lang w:val="de-AT"/>
        </w:rPr>
        <w:t>, Band 297 2/2013, S. 354-389.</w:t>
      </w:r>
    </w:p>
    <w:p w14:paraId="775826AA" w14:textId="35FA3B09" w:rsidR="00E263D4" w:rsidRPr="00392D51" w:rsidRDefault="00E263D4" w:rsidP="00E263D4">
      <w:pPr>
        <w:rPr>
          <w:rFonts w:cs="Times New Roman"/>
          <w:szCs w:val="24"/>
          <w:lang w:val="en-US"/>
        </w:rPr>
      </w:pPr>
      <w:r w:rsidRPr="00392D51">
        <w:rPr>
          <w:rFonts w:cs="Times New Roman"/>
          <w:smallCaps/>
          <w:szCs w:val="24"/>
          <w:lang w:val="en-US"/>
        </w:rPr>
        <w:t xml:space="preserve">DiNunzio </w:t>
      </w:r>
      <w:r w:rsidRPr="00392D51">
        <w:rPr>
          <w:rFonts w:cs="Times New Roman"/>
          <w:szCs w:val="24"/>
          <w:lang w:val="en-US"/>
        </w:rPr>
        <w:t xml:space="preserve">Mario R. (Hg.), </w:t>
      </w:r>
      <w:r w:rsidRPr="00392D51">
        <w:rPr>
          <w:rFonts w:cs="Times New Roman"/>
          <w:i/>
          <w:szCs w:val="24"/>
          <w:lang w:val="en-US"/>
        </w:rPr>
        <w:t>Woodrow Wilson, Essential writings and speeches of the scholar-president</w:t>
      </w:r>
      <w:r w:rsidRPr="00392D51">
        <w:rPr>
          <w:rFonts w:cs="Times New Roman"/>
          <w:szCs w:val="24"/>
          <w:lang w:val="en-US"/>
        </w:rPr>
        <w:t>, New York, New York University, 2006</w:t>
      </w:r>
      <w:r w:rsidR="0087057B" w:rsidRPr="00392D51">
        <w:rPr>
          <w:rFonts w:cs="Times New Roman"/>
          <w:szCs w:val="24"/>
          <w:lang w:val="en-US"/>
        </w:rPr>
        <w:t>.</w:t>
      </w:r>
    </w:p>
    <w:p w14:paraId="0BD03861" w14:textId="77777777" w:rsidR="00E263D4" w:rsidRPr="006026DC" w:rsidRDefault="00E263D4" w:rsidP="00E263D4">
      <w:pPr>
        <w:rPr>
          <w:rFonts w:cs="Times New Roman"/>
          <w:szCs w:val="24"/>
          <w:lang w:val="de-AT"/>
        </w:rPr>
      </w:pPr>
      <w:r w:rsidRPr="006026DC">
        <w:rPr>
          <w:rFonts w:cs="Times New Roman"/>
          <w:smallCaps/>
          <w:szCs w:val="24"/>
          <w:lang w:val="de-AT"/>
        </w:rPr>
        <w:t>Eckert</w:t>
      </w:r>
      <w:r w:rsidRPr="006026DC">
        <w:rPr>
          <w:rFonts w:cs="Times New Roman"/>
          <w:szCs w:val="24"/>
          <w:lang w:val="de-AT"/>
        </w:rPr>
        <w:t xml:space="preserve"> Georg, “Treue” </w:t>
      </w:r>
      <w:r w:rsidRPr="006026DC">
        <w:rPr>
          <w:rFonts w:cs="Times New Roman"/>
          <w:i/>
          <w:szCs w:val="24"/>
          <w:lang w:val="de-AT"/>
        </w:rPr>
        <w:t>in</w:t>
      </w:r>
      <w:r w:rsidRPr="006026DC">
        <w:rPr>
          <w:rFonts w:cs="Times New Roman"/>
          <w:szCs w:val="24"/>
          <w:lang w:val="de-AT"/>
        </w:rPr>
        <w:t xml:space="preserve"> Friedrich Jaeger</w:t>
      </w:r>
      <w:r w:rsidRPr="006026DC">
        <w:rPr>
          <w:rFonts w:cs="Times New Roman"/>
          <w:i/>
          <w:szCs w:val="24"/>
          <w:lang w:val="de-AT"/>
        </w:rPr>
        <w:t xml:space="preserve"> Enzyklopädie der Neuzeit, </w:t>
      </w:r>
      <w:r w:rsidRPr="006026DC">
        <w:rPr>
          <w:rFonts w:cs="Times New Roman"/>
          <w:szCs w:val="24"/>
          <w:lang w:val="de-AT"/>
        </w:rPr>
        <w:t>Stuttgart, J. B. Metzler Verlag, 2005, S. 744-748.</w:t>
      </w:r>
    </w:p>
    <w:p w14:paraId="4E0F9503" w14:textId="5BB79F43" w:rsidR="00E263D4" w:rsidRPr="006026DC" w:rsidRDefault="00E263D4" w:rsidP="00E263D4">
      <w:pPr>
        <w:rPr>
          <w:rFonts w:cs="Times New Roman"/>
          <w:smallCaps/>
          <w:szCs w:val="24"/>
          <w:lang w:val="de-AT"/>
        </w:rPr>
      </w:pPr>
      <w:r w:rsidRPr="006026DC">
        <w:rPr>
          <w:rFonts w:cs="Times New Roman"/>
          <w:smallCaps/>
          <w:szCs w:val="24"/>
          <w:lang w:val="de-AT"/>
        </w:rPr>
        <w:t>Enderle-Burcel</w:t>
      </w:r>
      <w:r w:rsidRPr="006026DC">
        <w:rPr>
          <w:rFonts w:cs="Times New Roman"/>
          <w:szCs w:val="24"/>
          <w:lang w:val="de-AT"/>
        </w:rPr>
        <w:t xml:space="preserve"> Gertrude und </w:t>
      </w:r>
      <w:r w:rsidRPr="006026DC">
        <w:rPr>
          <w:rFonts w:cs="Times New Roman"/>
          <w:smallCaps/>
          <w:szCs w:val="24"/>
          <w:lang w:val="de-AT"/>
        </w:rPr>
        <w:t>Follner</w:t>
      </w:r>
      <w:r w:rsidRPr="006026DC">
        <w:rPr>
          <w:rFonts w:cs="Times New Roman"/>
          <w:szCs w:val="24"/>
          <w:lang w:val="de-AT"/>
        </w:rPr>
        <w:t xml:space="preserve"> Michaela, </w:t>
      </w:r>
      <w:r w:rsidRPr="006026DC">
        <w:rPr>
          <w:rFonts w:cs="Times New Roman"/>
          <w:i/>
          <w:szCs w:val="24"/>
          <w:lang w:val="de-AT"/>
        </w:rPr>
        <w:t>Diener vieler Herren. Biographisches Handbuch der Sektionschefs der Ersten Republik und des Jahres 1945</w:t>
      </w:r>
      <w:r w:rsidRPr="006026DC">
        <w:rPr>
          <w:rFonts w:cs="Times New Roman"/>
          <w:szCs w:val="24"/>
          <w:lang w:val="de-AT"/>
        </w:rPr>
        <w:t>, Wien, Dokumentationsarchiv des österreichischen Widerstandes/Österreichische Gesellschaft für historische Quellenstudien, 1997</w:t>
      </w:r>
      <w:r w:rsidR="0087057B">
        <w:rPr>
          <w:rFonts w:cs="Times New Roman"/>
          <w:szCs w:val="24"/>
          <w:lang w:val="de-AT"/>
        </w:rPr>
        <w:t>.</w:t>
      </w:r>
    </w:p>
    <w:p w14:paraId="46D481A3" w14:textId="2E65A2C2" w:rsidR="00E263D4" w:rsidRPr="006026DC" w:rsidRDefault="00E263D4" w:rsidP="00E263D4">
      <w:pPr>
        <w:rPr>
          <w:rFonts w:cs="Times New Roman"/>
          <w:smallCaps/>
          <w:szCs w:val="24"/>
          <w:lang w:val="de-AT"/>
        </w:rPr>
      </w:pPr>
      <w:r w:rsidRPr="006026DC">
        <w:rPr>
          <w:rFonts w:cs="Times New Roman"/>
          <w:smallCaps/>
          <w:szCs w:val="24"/>
          <w:lang w:val="de-AT"/>
        </w:rPr>
        <w:t>Buschmann</w:t>
      </w:r>
      <w:r w:rsidRPr="006026DC">
        <w:rPr>
          <w:rFonts w:cs="Times New Roman"/>
          <w:szCs w:val="24"/>
          <w:lang w:val="de-AT"/>
        </w:rPr>
        <w:t xml:space="preserve"> Nikolaus und </w:t>
      </w:r>
      <w:r w:rsidRPr="006026DC">
        <w:rPr>
          <w:rFonts w:cs="Times New Roman"/>
          <w:smallCaps/>
          <w:szCs w:val="24"/>
          <w:lang w:val="de-AT"/>
        </w:rPr>
        <w:t>Murr</w:t>
      </w:r>
      <w:r w:rsidRPr="006026DC">
        <w:rPr>
          <w:rFonts w:cs="Times New Roman"/>
          <w:szCs w:val="24"/>
          <w:lang w:val="de-AT"/>
        </w:rPr>
        <w:t xml:space="preserve"> Karl Borromäus Murr, „Treue“ als Forschungskonzept? Begriffliche und methodische Sondierungen“ </w:t>
      </w:r>
      <w:r w:rsidRPr="00443983">
        <w:rPr>
          <w:rFonts w:cs="Times New Roman"/>
          <w:i/>
          <w:szCs w:val="24"/>
          <w:lang w:val="de-AT"/>
        </w:rPr>
        <w:t>in</w:t>
      </w:r>
      <w:r w:rsidRPr="006026DC">
        <w:rPr>
          <w:rFonts w:cs="Times New Roman"/>
          <w:szCs w:val="24"/>
          <w:lang w:val="de-AT"/>
        </w:rPr>
        <w:t xml:space="preserve"> Dies. (Hg.), </w:t>
      </w:r>
      <w:r w:rsidRPr="006026DC">
        <w:rPr>
          <w:rFonts w:cs="Times New Roman"/>
          <w:i/>
          <w:szCs w:val="24"/>
          <w:lang w:val="de-AT"/>
        </w:rPr>
        <w:t>Treue. Politische Loyalität und militärische Gefolgschaft in der Moderne</w:t>
      </w:r>
      <w:r w:rsidRPr="006026DC">
        <w:rPr>
          <w:rFonts w:cs="Times New Roman"/>
          <w:szCs w:val="24"/>
          <w:lang w:val="de-AT"/>
        </w:rPr>
        <w:t>, Göttingen, Vandenhoeck &amp; Ruprecht, 2008, S. 11-35</w:t>
      </w:r>
      <w:r w:rsidR="0087057B">
        <w:rPr>
          <w:rFonts w:cs="Times New Roman"/>
          <w:szCs w:val="24"/>
          <w:lang w:val="de-AT"/>
        </w:rPr>
        <w:t>.</w:t>
      </w:r>
    </w:p>
    <w:p w14:paraId="617E131E" w14:textId="77777777" w:rsidR="00E263D4" w:rsidRPr="006026DC" w:rsidRDefault="00E263D4" w:rsidP="00E263D4">
      <w:pPr>
        <w:rPr>
          <w:rFonts w:cs="Times New Roman"/>
          <w:szCs w:val="24"/>
          <w:lang w:val="de-AT"/>
        </w:rPr>
      </w:pPr>
      <w:r w:rsidRPr="006026DC">
        <w:rPr>
          <w:rFonts w:cs="Times New Roman"/>
          <w:smallCaps/>
          <w:szCs w:val="24"/>
          <w:lang w:val="de-AT"/>
        </w:rPr>
        <w:t>Friesenhahn</w:t>
      </w:r>
      <w:r w:rsidRPr="006026DC">
        <w:rPr>
          <w:rFonts w:cs="Times New Roman"/>
          <w:szCs w:val="24"/>
          <w:lang w:val="de-AT"/>
        </w:rPr>
        <w:t xml:space="preserve"> Ernst, </w:t>
      </w:r>
      <w:r w:rsidRPr="006026DC">
        <w:rPr>
          <w:rFonts w:cs="Times New Roman"/>
          <w:i/>
          <w:szCs w:val="24"/>
          <w:lang w:val="de-AT"/>
        </w:rPr>
        <w:t>Der politische Eid</w:t>
      </w:r>
      <w:r w:rsidRPr="006026DC">
        <w:rPr>
          <w:rFonts w:cs="Times New Roman"/>
          <w:szCs w:val="24"/>
          <w:lang w:val="de-AT"/>
        </w:rPr>
        <w:t>, Bonn, Friedrich Rohrscheid Verlag, 1928.</w:t>
      </w:r>
    </w:p>
    <w:p w14:paraId="3CB05BFC" w14:textId="77777777" w:rsidR="00E263D4" w:rsidRPr="006026DC" w:rsidRDefault="00E263D4" w:rsidP="00E263D4">
      <w:pPr>
        <w:rPr>
          <w:rFonts w:cs="Times New Roman"/>
          <w:szCs w:val="24"/>
          <w:lang w:val="de-AT"/>
        </w:rPr>
      </w:pPr>
      <w:r w:rsidRPr="006026DC">
        <w:rPr>
          <w:rFonts w:cs="Times New Roman"/>
          <w:smallCaps/>
          <w:szCs w:val="24"/>
          <w:lang w:val="de-AT"/>
        </w:rPr>
        <w:t>Gruber</w:t>
      </w:r>
      <w:r w:rsidRPr="006026DC">
        <w:rPr>
          <w:rFonts w:cs="Times New Roman"/>
          <w:szCs w:val="24"/>
          <w:lang w:val="de-AT"/>
        </w:rPr>
        <w:t xml:space="preserve"> Erich und </w:t>
      </w:r>
      <w:r w:rsidRPr="006026DC">
        <w:rPr>
          <w:rFonts w:cs="Times New Roman"/>
          <w:smallCaps/>
          <w:szCs w:val="24"/>
          <w:lang w:val="de-AT"/>
        </w:rPr>
        <w:t xml:space="preserve">Pfaundler </w:t>
      </w:r>
      <w:r w:rsidRPr="006026DC">
        <w:rPr>
          <w:rFonts w:cs="Times New Roman"/>
          <w:szCs w:val="24"/>
          <w:lang w:val="de-AT"/>
        </w:rPr>
        <w:t xml:space="preserve">Richard, „Die Besoldungsverhältnisse der Beamtenschaft und die neue Entwicklung der Besoldungspolitik in Österreich“ </w:t>
      </w:r>
      <w:r w:rsidRPr="006026DC">
        <w:rPr>
          <w:rFonts w:cs="Times New Roman"/>
          <w:i/>
          <w:szCs w:val="24"/>
          <w:lang w:val="de-AT"/>
        </w:rPr>
        <w:t>in</w:t>
      </w:r>
      <w:r w:rsidRPr="006026DC">
        <w:rPr>
          <w:rFonts w:cs="Times New Roman"/>
          <w:szCs w:val="24"/>
          <w:lang w:val="de-AT"/>
        </w:rPr>
        <w:t xml:space="preserve"> Wilhelm Gerloff (Hg.), </w:t>
      </w:r>
      <w:r w:rsidRPr="006026DC">
        <w:rPr>
          <w:rFonts w:cs="Times New Roman"/>
          <w:i/>
          <w:szCs w:val="24"/>
          <w:lang w:val="de-AT"/>
        </w:rPr>
        <w:t>Die Beamtenbesoldung im modernen Staat</w:t>
      </w:r>
      <w:r w:rsidRPr="006026DC">
        <w:rPr>
          <w:rFonts w:cs="Times New Roman"/>
          <w:szCs w:val="24"/>
          <w:lang w:val="de-AT"/>
        </w:rPr>
        <w:t>, 2. Teil (Schriften des Vereins für Socialpolitik 184/2), München/Leipzig, 1934, S. 107-183.</w:t>
      </w:r>
    </w:p>
    <w:p w14:paraId="54C5B693" w14:textId="77777777" w:rsidR="00E263D4" w:rsidRPr="006026DC" w:rsidRDefault="00E263D4" w:rsidP="00E263D4">
      <w:pPr>
        <w:rPr>
          <w:rFonts w:cs="Times New Roman"/>
          <w:szCs w:val="24"/>
          <w:lang w:val="de-AT"/>
        </w:rPr>
      </w:pPr>
      <w:r w:rsidRPr="006026DC">
        <w:rPr>
          <w:rFonts w:cs="Times New Roman"/>
          <w:smallCaps/>
          <w:szCs w:val="24"/>
          <w:lang w:val="de-AT"/>
        </w:rPr>
        <w:t>Hafner</w:t>
      </w:r>
      <w:r w:rsidRPr="006026DC">
        <w:rPr>
          <w:rFonts w:cs="Times New Roman"/>
          <w:szCs w:val="24"/>
          <w:lang w:val="de-AT"/>
        </w:rPr>
        <w:t xml:space="preserve"> Herta, Der sozio-ökonomische Wandel der österreichischen Staatsangestellten 1914 – 1924, unveröffentlichte Dissertation, Universität Wien, Wien, 1991.</w:t>
      </w:r>
    </w:p>
    <w:p w14:paraId="3FFA120C" w14:textId="77777777" w:rsidR="00E263D4" w:rsidRPr="006026DC" w:rsidRDefault="00E263D4" w:rsidP="00E263D4">
      <w:pPr>
        <w:rPr>
          <w:rFonts w:cs="Times New Roman"/>
          <w:szCs w:val="24"/>
          <w:lang w:val="de-AT"/>
        </w:rPr>
      </w:pPr>
      <w:r w:rsidRPr="006026DC">
        <w:rPr>
          <w:rFonts w:cs="Times New Roman"/>
          <w:smallCaps/>
          <w:szCs w:val="24"/>
          <w:lang w:val="de-AT"/>
        </w:rPr>
        <w:t>Kelsen</w:t>
      </w:r>
      <w:r w:rsidRPr="006026DC">
        <w:rPr>
          <w:rFonts w:cs="Times New Roman"/>
          <w:szCs w:val="24"/>
          <w:lang w:val="de-AT"/>
        </w:rPr>
        <w:t xml:space="preserve"> Hans, </w:t>
      </w:r>
      <w:r w:rsidRPr="006026DC">
        <w:rPr>
          <w:rFonts w:cs="Times New Roman"/>
          <w:smallCaps/>
          <w:szCs w:val="24"/>
          <w:lang w:val="de-AT"/>
        </w:rPr>
        <w:t>Froehlich</w:t>
      </w:r>
      <w:r w:rsidRPr="006026DC">
        <w:rPr>
          <w:rFonts w:cs="Times New Roman"/>
          <w:szCs w:val="24"/>
          <w:lang w:val="de-AT"/>
        </w:rPr>
        <w:t xml:space="preserve"> Georg, </w:t>
      </w:r>
      <w:r w:rsidRPr="006026DC">
        <w:rPr>
          <w:rFonts w:cs="Times New Roman"/>
          <w:smallCaps/>
          <w:szCs w:val="24"/>
          <w:lang w:val="de-AT"/>
        </w:rPr>
        <w:t xml:space="preserve">Merkl </w:t>
      </w:r>
      <w:r w:rsidRPr="006026DC">
        <w:rPr>
          <w:rFonts w:cs="Times New Roman"/>
          <w:szCs w:val="24"/>
          <w:lang w:val="de-AT"/>
        </w:rPr>
        <w:t xml:space="preserve">Adolf (Hg.), </w:t>
      </w:r>
      <w:r w:rsidRPr="006026DC">
        <w:rPr>
          <w:rFonts w:cs="Times New Roman"/>
          <w:i/>
          <w:szCs w:val="24"/>
          <w:lang w:val="de-AT"/>
        </w:rPr>
        <w:t>Die Verfassungsgesetze der Republik Österreich: mit einer historischen Übersicht und kritischen Erläuterungen</w:t>
      </w:r>
      <w:r w:rsidRPr="006026DC">
        <w:rPr>
          <w:rFonts w:cs="Times New Roman"/>
          <w:szCs w:val="24"/>
          <w:lang w:val="de-AT"/>
        </w:rPr>
        <w:t>, Bd. 5: Die Bundesverfassung vom 1. Oktober 1920, Wien, Deuticke, 1922.</w:t>
      </w:r>
    </w:p>
    <w:p w14:paraId="77933EBB" w14:textId="77777777" w:rsidR="00E263D4" w:rsidRPr="006026DC" w:rsidRDefault="00E263D4" w:rsidP="00E263D4">
      <w:pPr>
        <w:rPr>
          <w:rFonts w:cs="Times New Roman"/>
          <w:szCs w:val="24"/>
          <w:lang w:val="de-AT"/>
        </w:rPr>
      </w:pPr>
      <w:r w:rsidRPr="006026DC">
        <w:rPr>
          <w:rFonts w:cs="Times New Roman"/>
          <w:smallCaps/>
          <w:szCs w:val="24"/>
          <w:lang w:val="de-AT"/>
        </w:rPr>
        <w:t>Luminati</w:t>
      </w:r>
      <w:r w:rsidRPr="006026DC">
        <w:rPr>
          <w:rFonts w:cs="Times New Roman"/>
          <w:szCs w:val="24"/>
          <w:lang w:val="de-AT"/>
        </w:rPr>
        <w:t xml:space="preserve"> Michele, “Eid” </w:t>
      </w:r>
      <w:r w:rsidRPr="006026DC">
        <w:rPr>
          <w:rFonts w:cs="Times New Roman"/>
          <w:i/>
          <w:szCs w:val="24"/>
          <w:lang w:val="de-AT"/>
        </w:rPr>
        <w:t>in</w:t>
      </w:r>
      <w:r w:rsidRPr="006026DC">
        <w:rPr>
          <w:rFonts w:cs="Times New Roman"/>
          <w:szCs w:val="24"/>
          <w:lang w:val="de-AT"/>
        </w:rPr>
        <w:t xml:space="preserve"> Friedrich Jaeger</w:t>
      </w:r>
      <w:r w:rsidRPr="006026DC">
        <w:rPr>
          <w:rFonts w:cs="Times New Roman"/>
          <w:i/>
          <w:szCs w:val="24"/>
          <w:lang w:val="de-AT"/>
        </w:rPr>
        <w:t xml:space="preserve"> Enzyklopädie der Neuzeit, </w:t>
      </w:r>
      <w:r w:rsidRPr="006026DC">
        <w:rPr>
          <w:rFonts w:cs="Times New Roman"/>
          <w:szCs w:val="24"/>
          <w:lang w:val="de-AT"/>
        </w:rPr>
        <w:t>Stuttgart, J. B. Metzler Verlag, 2005, S. 90-93.</w:t>
      </w:r>
    </w:p>
    <w:p w14:paraId="66DA8D1C" w14:textId="77777777" w:rsidR="00E263D4" w:rsidRPr="006026DC" w:rsidRDefault="00E263D4" w:rsidP="00E263D4">
      <w:pPr>
        <w:rPr>
          <w:rFonts w:cs="Times New Roman"/>
          <w:szCs w:val="24"/>
          <w:lang w:val="de-AT"/>
        </w:rPr>
      </w:pPr>
      <w:r w:rsidRPr="006026DC">
        <w:rPr>
          <w:rFonts w:cs="Times New Roman"/>
          <w:smallCaps/>
          <w:szCs w:val="24"/>
          <w:lang w:val="de-AT"/>
        </w:rPr>
        <w:t>Megner</w:t>
      </w:r>
      <w:r w:rsidRPr="006026DC">
        <w:rPr>
          <w:rFonts w:cs="Times New Roman"/>
          <w:szCs w:val="24"/>
          <w:lang w:val="de-AT"/>
        </w:rPr>
        <w:t xml:space="preserve"> Karl, </w:t>
      </w:r>
      <w:r w:rsidRPr="006026DC">
        <w:rPr>
          <w:rFonts w:cs="Times New Roman"/>
          <w:i/>
          <w:szCs w:val="24"/>
          <w:lang w:val="de-AT"/>
        </w:rPr>
        <w:t>Der österreichische Staatsbeamte im Übergang von der Monarchie zur Republik</w:t>
      </w:r>
      <w:r w:rsidRPr="006026DC">
        <w:rPr>
          <w:rFonts w:cs="Times New Roman"/>
          <w:szCs w:val="24"/>
          <w:lang w:val="de-AT"/>
        </w:rPr>
        <w:t xml:space="preserve"> (Tagung: Beiträge zur Verwaltungsgeschichte der Ersten Republik, Wien am 22. u. 23. Okt. 1985), unveröffentlichtes Manuskript, Wien, 1985.</w:t>
      </w:r>
    </w:p>
    <w:p w14:paraId="69644AB4" w14:textId="05601BAD" w:rsidR="00E263D4" w:rsidRPr="006026DC" w:rsidRDefault="00E263D4" w:rsidP="00E263D4">
      <w:pPr>
        <w:rPr>
          <w:rFonts w:cs="Times New Roman"/>
          <w:szCs w:val="24"/>
          <w:lang w:val="de-AT"/>
        </w:rPr>
      </w:pPr>
      <w:r w:rsidRPr="006026DC">
        <w:rPr>
          <w:rFonts w:cs="Times New Roman"/>
          <w:smallCaps/>
          <w:szCs w:val="24"/>
          <w:lang w:val="de-AT"/>
        </w:rPr>
        <w:t>Munzel-Everling</w:t>
      </w:r>
      <w:r w:rsidRPr="006026DC">
        <w:rPr>
          <w:rFonts w:cs="Times New Roman"/>
          <w:szCs w:val="24"/>
          <w:lang w:val="de-AT"/>
        </w:rPr>
        <w:t xml:space="preserve"> Dietlinde, „Gelöbnis“ </w:t>
      </w:r>
      <w:r w:rsidR="00B76C00" w:rsidRPr="00F2085A">
        <w:rPr>
          <w:i/>
          <w:lang w:val="de-AT"/>
        </w:rPr>
        <w:t>in</w:t>
      </w:r>
      <w:r w:rsidR="00B76C00" w:rsidRPr="006026DC">
        <w:rPr>
          <w:lang w:val="de-AT"/>
        </w:rPr>
        <w:t xml:space="preserve"> </w:t>
      </w:r>
      <w:r w:rsidR="00B76C00">
        <w:rPr>
          <w:lang w:val="de-AT"/>
        </w:rPr>
        <w:t>Albrecht Cordes u. a. (Hg.),</w:t>
      </w:r>
      <w:r w:rsidRPr="006026DC">
        <w:rPr>
          <w:rFonts w:cs="Times New Roman"/>
          <w:szCs w:val="24"/>
          <w:lang w:val="de-AT"/>
        </w:rPr>
        <w:t xml:space="preserve"> </w:t>
      </w:r>
      <w:r w:rsidRPr="006026DC">
        <w:rPr>
          <w:rFonts w:cs="Times New Roman"/>
          <w:i/>
          <w:szCs w:val="24"/>
          <w:lang w:val="de-AT"/>
        </w:rPr>
        <w:t>Handwörterbuch zur Deutschen Rechtsgeschichte</w:t>
      </w:r>
      <w:r w:rsidRPr="006026DC">
        <w:rPr>
          <w:rFonts w:cs="Times New Roman"/>
          <w:szCs w:val="24"/>
          <w:lang w:val="de-AT"/>
        </w:rPr>
        <w:t>, Band II, Berlin, Erich Schmidt Verlag, 2012, S. 1249-1261.</w:t>
      </w:r>
    </w:p>
    <w:p w14:paraId="4792CBEF" w14:textId="4ADB37A1" w:rsidR="00E263D4" w:rsidRPr="006026DC" w:rsidRDefault="00E263D4" w:rsidP="00E263D4">
      <w:pPr>
        <w:rPr>
          <w:rFonts w:cs="Times New Roman"/>
          <w:szCs w:val="24"/>
          <w:lang w:val="de-AT"/>
        </w:rPr>
      </w:pPr>
      <w:r w:rsidRPr="006026DC">
        <w:rPr>
          <w:rFonts w:cs="Times New Roman"/>
          <w:smallCaps/>
          <w:szCs w:val="24"/>
          <w:lang w:val="de-AT"/>
        </w:rPr>
        <w:t>Prodi</w:t>
      </w:r>
      <w:r w:rsidRPr="006026DC">
        <w:rPr>
          <w:rFonts w:cs="Times New Roman"/>
          <w:szCs w:val="24"/>
          <w:lang w:val="de-AT"/>
        </w:rPr>
        <w:t xml:space="preserve"> Paolo, „Der Eid in der europäischen Verfassungsgeschichte“ </w:t>
      </w:r>
      <w:r w:rsidRPr="006026DC">
        <w:rPr>
          <w:rFonts w:cs="Times New Roman"/>
          <w:i/>
          <w:szCs w:val="24"/>
          <w:lang w:val="de-AT"/>
        </w:rPr>
        <w:t>in</w:t>
      </w:r>
      <w:r w:rsidRPr="006026DC">
        <w:rPr>
          <w:rFonts w:cs="Times New Roman"/>
          <w:szCs w:val="24"/>
          <w:lang w:val="de-AT"/>
        </w:rPr>
        <w:t xml:space="preserve"> Ders. (Hg.) </w:t>
      </w:r>
      <w:r w:rsidRPr="006026DC">
        <w:rPr>
          <w:rFonts w:cs="Times New Roman"/>
          <w:i/>
          <w:szCs w:val="24"/>
          <w:lang w:val="de-AT"/>
        </w:rPr>
        <w:t>Glaube und Eid. Treueformeln, Glaubensbekenntnisse und Sozialdisziplinierung zwischen Mittelalter und Neuzeit</w:t>
      </w:r>
      <w:r w:rsidR="00773154">
        <w:rPr>
          <w:rFonts w:cs="Times New Roman"/>
          <w:szCs w:val="24"/>
          <w:lang w:val="de-AT"/>
        </w:rPr>
        <w:t xml:space="preserve">, </w:t>
      </w:r>
      <w:r w:rsidRPr="006026DC">
        <w:rPr>
          <w:rFonts w:cs="Times New Roman"/>
          <w:szCs w:val="24"/>
          <w:lang w:val="de-AT"/>
        </w:rPr>
        <w:t>München, Oldenbourg, 1993, S. IV-XXIX.</w:t>
      </w:r>
    </w:p>
    <w:p w14:paraId="65A662EB" w14:textId="77777777" w:rsidR="00E263D4" w:rsidRPr="006026DC" w:rsidRDefault="00E263D4" w:rsidP="00E263D4">
      <w:pPr>
        <w:rPr>
          <w:rFonts w:cs="Times New Roman"/>
          <w:szCs w:val="24"/>
          <w:lang w:val="de-AT"/>
        </w:rPr>
      </w:pPr>
      <w:r w:rsidRPr="006026DC">
        <w:rPr>
          <w:rFonts w:cs="Times New Roman"/>
          <w:smallCaps/>
          <w:szCs w:val="24"/>
          <w:lang w:val="de-AT"/>
        </w:rPr>
        <w:t>Wiedenmann</w:t>
      </w:r>
      <w:r w:rsidRPr="006026DC">
        <w:rPr>
          <w:rFonts w:cs="Times New Roman"/>
          <w:szCs w:val="24"/>
          <w:lang w:val="de-AT"/>
        </w:rPr>
        <w:t xml:space="preserve"> Rainer E., „Treue und Loyalität im Prozess gesellschaftlichen Wandels: eine soziologische Skizze“ </w:t>
      </w:r>
      <w:r w:rsidRPr="006026DC">
        <w:rPr>
          <w:rFonts w:cs="Times New Roman"/>
          <w:i/>
          <w:szCs w:val="24"/>
          <w:lang w:val="de-AT"/>
        </w:rPr>
        <w:t>in</w:t>
      </w:r>
      <w:r w:rsidRPr="006026DC">
        <w:rPr>
          <w:rFonts w:cs="Times New Roman"/>
          <w:szCs w:val="24"/>
          <w:lang w:val="de-AT"/>
        </w:rPr>
        <w:t xml:space="preserve"> Nikolaus Buschmann und Karl Borromäus Murr (Hg.), </w:t>
      </w:r>
      <w:r w:rsidRPr="006026DC">
        <w:rPr>
          <w:rFonts w:cs="Times New Roman"/>
          <w:i/>
          <w:szCs w:val="24"/>
          <w:lang w:val="de-AT"/>
        </w:rPr>
        <w:t>Treue. Politische Loyalität und militärische Gefolgschaft in der Moderne</w:t>
      </w:r>
      <w:r w:rsidRPr="006026DC">
        <w:rPr>
          <w:rFonts w:cs="Times New Roman"/>
          <w:szCs w:val="24"/>
          <w:lang w:val="de-AT"/>
        </w:rPr>
        <w:t>, Göttingen, Vandenhoeck &amp; Ruprecht, 2008, S. 36-71.</w:t>
      </w:r>
    </w:p>
    <w:p w14:paraId="3B2DBC12" w14:textId="77777777" w:rsidR="00E263D4" w:rsidRPr="006026DC" w:rsidRDefault="00E263D4" w:rsidP="00E263D4">
      <w:pPr>
        <w:rPr>
          <w:rFonts w:cs="Times New Roman"/>
          <w:szCs w:val="24"/>
          <w:lang w:val="de-AT"/>
        </w:rPr>
      </w:pPr>
      <w:r w:rsidRPr="006026DC">
        <w:rPr>
          <w:rFonts w:cs="Times New Roman"/>
          <w:smallCaps/>
          <w:szCs w:val="24"/>
          <w:lang w:val="de-AT"/>
        </w:rPr>
        <w:t>Schmidt-Wiegand</w:t>
      </w:r>
      <w:r w:rsidRPr="006026DC">
        <w:rPr>
          <w:rFonts w:cs="Times New Roman"/>
          <w:szCs w:val="24"/>
          <w:lang w:val="de-AT"/>
        </w:rPr>
        <w:t xml:space="preserve"> Ruth, „Eid und Gelöbnis, Form und Formular im mittelalterlichen Recht“ </w:t>
      </w:r>
      <w:r w:rsidRPr="00443983">
        <w:rPr>
          <w:rFonts w:cs="Times New Roman"/>
          <w:i/>
          <w:szCs w:val="24"/>
          <w:lang w:val="de-AT"/>
        </w:rPr>
        <w:t>in</w:t>
      </w:r>
      <w:r w:rsidRPr="006026DC">
        <w:rPr>
          <w:rFonts w:cs="Times New Roman"/>
          <w:szCs w:val="24"/>
          <w:lang w:val="de-AT"/>
        </w:rPr>
        <w:t xml:space="preserve"> Peter Classen (Hg.), </w:t>
      </w:r>
      <w:r w:rsidRPr="006026DC">
        <w:rPr>
          <w:rFonts w:cs="Times New Roman"/>
          <w:i/>
          <w:szCs w:val="24"/>
          <w:lang w:val="de-AT"/>
        </w:rPr>
        <w:t>Recht und Schrift im Mittelalter</w:t>
      </w:r>
      <w:r w:rsidRPr="006026DC">
        <w:rPr>
          <w:rFonts w:cs="Times New Roman"/>
          <w:szCs w:val="24"/>
          <w:lang w:val="de-AT"/>
        </w:rPr>
        <w:t>, Sigmaringen,</w:t>
      </w:r>
      <w:r w:rsidRPr="006026DC">
        <w:rPr>
          <w:rFonts w:cs="Times New Roman"/>
          <w:lang w:val="de-AT"/>
        </w:rPr>
        <w:t xml:space="preserve"> </w:t>
      </w:r>
      <w:r w:rsidRPr="006026DC">
        <w:rPr>
          <w:rFonts w:cs="Times New Roman"/>
          <w:szCs w:val="24"/>
          <w:lang w:val="de-AT"/>
        </w:rPr>
        <w:t>Jan Thorbecke Verlag, 1977, S. 55-90.</w:t>
      </w:r>
    </w:p>
    <w:p w14:paraId="2C929B2D" w14:textId="77777777" w:rsidR="0087057B" w:rsidRDefault="00E263D4" w:rsidP="0087057B">
      <w:pPr>
        <w:widowControl w:val="0"/>
        <w:autoSpaceDE w:val="0"/>
        <w:autoSpaceDN w:val="0"/>
        <w:adjustRightInd w:val="0"/>
        <w:spacing w:after="240"/>
        <w:rPr>
          <w:rFonts w:cs="Times New Roman"/>
          <w:szCs w:val="24"/>
          <w:lang w:val="de-AT"/>
        </w:rPr>
      </w:pPr>
      <w:r w:rsidRPr="006026DC">
        <w:rPr>
          <w:rFonts w:cs="Times New Roman"/>
          <w:smallCaps/>
          <w:szCs w:val="24"/>
          <w:lang w:val="de-AT"/>
        </w:rPr>
        <w:t>Weber</w:t>
      </w:r>
      <w:r w:rsidRPr="006026DC">
        <w:rPr>
          <w:rFonts w:cs="Times New Roman"/>
          <w:szCs w:val="24"/>
          <w:lang w:val="de-AT"/>
        </w:rPr>
        <w:t xml:space="preserve"> Max, </w:t>
      </w:r>
      <w:r w:rsidRPr="006026DC">
        <w:rPr>
          <w:rFonts w:cs="Times New Roman"/>
          <w:i/>
          <w:szCs w:val="24"/>
          <w:lang w:val="de-AT"/>
        </w:rPr>
        <w:t>Wirtschaft und Gesellschaft</w:t>
      </w:r>
      <w:r w:rsidRPr="006026DC">
        <w:rPr>
          <w:rFonts w:cs="Times New Roman"/>
          <w:szCs w:val="24"/>
          <w:lang w:val="de-AT"/>
        </w:rPr>
        <w:t>, Tübingen, Mohr Siebeck, 1980.</w:t>
      </w:r>
    </w:p>
    <w:p w14:paraId="3B43E9AC" w14:textId="0F57DEF3" w:rsidR="00E263D4" w:rsidRPr="006026DC" w:rsidRDefault="00E263D4" w:rsidP="0087057B">
      <w:pPr>
        <w:widowControl w:val="0"/>
        <w:autoSpaceDE w:val="0"/>
        <w:autoSpaceDN w:val="0"/>
        <w:adjustRightInd w:val="0"/>
        <w:spacing w:after="240"/>
        <w:rPr>
          <w:rFonts w:cs="Times New Roman"/>
          <w:szCs w:val="24"/>
          <w:lang w:val="de-AT"/>
        </w:rPr>
      </w:pPr>
      <w:r w:rsidRPr="006026DC">
        <w:rPr>
          <w:rFonts w:cs="Times New Roman"/>
          <w:smallCaps/>
          <w:szCs w:val="24"/>
          <w:lang w:val="de-AT"/>
        </w:rPr>
        <w:t xml:space="preserve">Widder </w:t>
      </w:r>
      <w:r w:rsidRPr="006026DC">
        <w:rPr>
          <w:rFonts w:cs="Times New Roman"/>
          <w:szCs w:val="24"/>
          <w:lang w:val="de-AT"/>
        </w:rPr>
        <w:t xml:space="preserve">Helmut, „Form und Funktion politischer Treuegelöbnisse“ </w:t>
      </w:r>
      <w:r w:rsidRPr="006026DC">
        <w:rPr>
          <w:rFonts w:cs="Times New Roman"/>
          <w:i/>
          <w:szCs w:val="24"/>
          <w:lang w:val="de-AT"/>
        </w:rPr>
        <w:t>in</w:t>
      </w:r>
      <w:r w:rsidRPr="006026DC">
        <w:rPr>
          <w:rFonts w:cs="Times New Roman"/>
          <w:szCs w:val="24"/>
          <w:lang w:val="de-AT"/>
        </w:rPr>
        <w:t xml:space="preserve"> Michael Fischer (Hrsg.), </w:t>
      </w:r>
      <w:r w:rsidRPr="006026DC">
        <w:rPr>
          <w:rFonts w:cs="Times New Roman"/>
          <w:i/>
          <w:szCs w:val="24"/>
          <w:lang w:val="de-AT"/>
        </w:rPr>
        <w:t>Dimensionen des Recht. Gedächtnisschrift für René Marcic</w:t>
      </w:r>
      <w:r w:rsidRPr="006026DC">
        <w:rPr>
          <w:rFonts w:cs="Times New Roman"/>
          <w:szCs w:val="24"/>
          <w:lang w:val="de-AT"/>
        </w:rPr>
        <w:t xml:space="preserve">, Duncker &amp; Humblot, </w:t>
      </w:r>
      <w:r w:rsidRPr="006026DC">
        <w:rPr>
          <w:rFonts w:cs="Times New Roman"/>
          <w:szCs w:val="24"/>
          <w:lang w:val="de-AT"/>
        </w:rPr>
        <w:lastRenderedPageBreak/>
        <w:t>Berlin, 1974, S. 701-720.</w:t>
      </w:r>
    </w:p>
    <w:p w14:paraId="37684147" w14:textId="77777777" w:rsidR="00E263D4" w:rsidRPr="006026DC" w:rsidRDefault="00E263D4" w:rsidP="00E263D4">
      <w:pPr>
        <w:pStyle w:val="berschrift2"/>
        <w:rPr>
          <w:lang w:val="de-AT"/>
        </w:rPr>
      </w:pPr>
      <w:r w:rsidRPr="006026DC">
        <w:rPr>
          <w:lang w:val="de-AT"/>
        </w:rPr>
        <w:t>Graue Literatur:</w:t>
      </w:r>
    </w:p>
    <w:p w14:paraId="359D19CF" w14:textId="77777777" w:rsidR="00E263D4" w:rsidRPr="006026DC" w:rsidRDefault="00E263D4" w:rsidP="00E263D4">
      <w:pPr>
        <w:rPr>
          <w:rFonts w:cs="Times New Roman"/>
          <w:szCs w:val="24"/>
          <w:lang w:val="de-AT"/>
        </w:rPr>
      </w:pPr>
      <w:r w:rsidRPr="006026DC">
        <w:rPr>
          <w:rFonts w:cs="Times New Roman"/>
          <w:szCs w:val="24"/>
          <w:lang w:val="de-AT"/>
        </w:rPr>
        <w:t>Verhandlungsschriften Nr. 1 bis 25 zu den Sitzungen des zwischenstaatsamtlichen Komitees für Staatsbedienstetenangelegenheiten, Wien, Österreichische Staatsdruckerei, 1919.</w:t>
      </w:r>
    </w:p>
    <w:p w14:paraId="66F3EBF2" w14:textId="77777777" w:rsidR="00E263D4" w:rsidRPr="006026DC" w:rsidRDefault="00E263D4" w:rsidP="00E263D4">
      <w:pPr>
        <w:rPr>
          <w:rFonts w:cs="Times New Roman"/>
          <w:szCs w:val="24"/>
          <w:lang w:val="de-AT"/>
        </w:rPr>
      </w:pPr>
      <w:r w:rsidRPr="006026DC">
        <w:rPr>
          <w:rFonts w:cs="Times New Roman"/>
          <w:szCs w:val="24"/>
          <w:lang w:val="de-AT"/>
        </w:rPr>
        <w:t>Verhandlungsschriften Nr. 26 bis 50 zu den Sitzungen des zwischenstaatsamtlichen Komitees für Staatsbedienstetenangelegenheiten, Wien, Österreichische Staatsdruckerei, 1919.</w:t>
      </w:r>
    </w:p>
    <w:p w14:paraId="36AF8346" w14:textId="77777777" w:rsidR="00E263D4" w:rsidRPr="006026DC" w:rsidRDefault="00E263D4" w:rsidP="00E263D4">
      <w:pPr>
        <w:widowControl w:val="0"/>
        <w:autoSpaceDE w:val="0"/>
        <w:autoSpaceDN w:val="0"/>
        <w:adjustRightInd w:val="0"/>
        <w:spacing w:after="240"/>
        <w:rPr>
          <w:rFonts w:cs="Times New Roman"/>
          <w:szCs w:val="24"/>
          <w:lang w:val="de-AT"/>
        </w:rPr>
      </w:pPr>
    </w:p>
    <w:p w14:paraId="064BDE8A" w14:textId="77777777" w:rsidR="00E263D4" w:rsidRPr="006026DC" w:rsidRDefault="00E263D4" w:rsidP="00E263D4">
      <w:pPr>
        <w:pStyle w:val="berschrift2"/>
        <w:rPr>
          <w:lang w:val="de-AT"/>
        </w:rPr>
      </w:pPr>
      <w:r w:rsidRPr="006026DC">
        <w:rPr>
          <w:lang w:val="de-AT"/>
        </w:rPr>
        <w:t>Archivquellen:</w:t>
      </w:r>
    </w:p>
    <w:p w14:paraId="27A4F9E6" w14:textId="77777777" w:rsidR="00E263D4" w:rsidRPr="006026DC" w:rsidRDefault="00E263D4" w:rsidP="00E263D4">
      <w:pPr>
        <w:widowControl w:val="0"/>
        <w:autoSpaceDE w:val="0"/>
        <w:autoSpaceDN w:val="0"/>
        <w:adjustRightInd w:val="0"/>
        <w:spacing w:after="240"/>
        <w:rPr>
          <w:rFonts w:cs="Times New Roman"/>
          <w:lang w:val="de-AT"/>
        </w:rPr>
      </w:pPr>
      <w:r w:rsidRPr="006026DC">
        <w:rPr>
          <w:rFonts w:cs="Times New Roman"/>
          <w:lang w:val="de-AT"/>
        </w:rPr>
        <w:t>Österreichisches Staatsarchiv, Archiv der Republik, Staatskanzlei, Materien-Sonderlegung, Karton 242: Schutzstelle (1918 – 1921).</w:t>
      </w:r>
    </w:p>
    <w:p w14:paraId="7F13B502" w14:textId="77777777" w:rsidR="00E263D4" w:rsidRPr="006026DC" w:rsidRDefault="00E263D4" w:rsidP="00E263D4">
      <w:pPr>
        <w:widowControl w:val="0"/>
        <w:autoSpaceDE w:val="0"/>
        <w:autoSpaceDN w:val="0"/>
        <w:adjustRightInd w:val="0"/>
        <w:spacing w:after="240"/>
        <w:rPr>
          <w:rFonts w:cs="Times New Roman"/>
          <w:szCs w:val="24"/>
          <w:lang w:val="de-AT"/>
        </w:rPr>
      </w:pPr>
      <w:r w:rsidRPr="006026DC">
        <w:rPr>
          <w:rFonts w:cs="Times New Roman"/>
          <w:lang w:val="de-AT"/>
        </w:rPr>
        <w:t>Österreichisches Staatsarchiv, Archiv der Republik, Staatskanzlei, Materien-Sonderlegung, Karton 246: Staatsbedienstetenangelegenheiten (1919).</w:t>
      </w:r>
    </w:p>
    <w:p w14:paraId="3214005E" w14:textId="77777777" w:rsidR="00E263D4" w:rsidRPr="006026DC" w:rsidRDefault="00E263D4" w:rsidP="00E263D4">
      <w:pPr>
        <w:widowControl w:val="0"/>
        <w:autoSpaceDE w:val="0"/>
        <w:autoSpaceDN w:val="0"/>
        <w:adjustRightInd w:val="0"/>
        <w:spacing w:after="240"/>
        <w:rPr>
          <w:rFonts w:cs="Times New Roman"/>
          <w:szCs w:val="24"/>
          <w:lang w:val="de-AT"/>
        </w:rPr>
      </w:pPr>
    </w:p>
    <w:p w14:paraId="67E21AC4" w14:textId="77777777" w:rsidR="009237A2" w:rsidRPr="00E263D4" w:rsidRDefault="009237A2" w:rsidP="00E263D4">
      <w:pPr>
        <w:rPr>
          <w:lang w:val="de-AT"/>
        </w:rPr>
      </w:pPr>
    </w:p>
    <w:sectPr w:rsidR="009237A2" w:rsidRPr="00E263D4" w:rsidSect="00624C3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1B5D3" w14:textId="77777777" w:rsidR="00887829" w:rsidRDefault="00887829">
      <w:r>
        <w:separator/>
      </w:r>
    </w:p>
  </w:endnote>
  <w:endnote w:type="continuationSeparator" w:id="0">
    <w:p w14:paraId="583273D3" w14:textId="77777777" w:rsidR="00887829" w:rsidRDefault="0088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haris">
    <w:altName w:val="Times New Roman"/>
    <w:charset w:val="00"/>
    <w:family w:val="auto"/>
    <w:pitch w:val="default"/>
  </w:font>
  <w:font w:name="CharisItalic">
    <w:altName w:val="Times New Roman"/>
    <w:charset w:val="00"/>
    <w:family w:val="auto"/>
    <w:pitch w:val="default"/>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74CD" w14:textId="77777777" w:rsidR="007D6DA1" w:rsidRDefault="007D6D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F0E2A" w14:textId="77777777" w:rsidR="002532BA" w:rsidRDefault="002532BA">
    <w:pPr>
      <w:pStyle w:val="Fuzeile"/>
      <w:pBdr>
        <w:top w:val="single" w:sz="4" w:space="1" w:color="auto"/>
      </w:pBdr>
      <w:jc w:val="right"/>
      <w:rPr>
        <w:rStyle w:val="Seitenzahl"/>
      </w:rPr>
    </w:pPr>
  </w:p>
  <w:p w14:paraId="039F42D2" w14:textId="77777777" w:rsidR="002532BA" w:rsidRDefault="002532BA">
    <w:pPr>
      <w:pStyle w:val="Fuzeile"/>
      <w:jc w:val="center"/>
      <w:rPr>
        <w:rStyle w:val="Seitenzahl"/>
      </w:rPr>
    </w:pPr>
    <w:r>
      <w:rPr>
        <w:rStyle w:val="Seitenzahl"/>
      </w:rPr>
      <w:t>-</w:t>
    </w:r>
    <w:r>
      <w:rPr>
        <w:rStyle w:val="Seitenzahl"/>
      </w:rPr>
      <w:fldChar w:fldCharType="begin"/>
    </w:r>
    <w:r>
      <w:rPr>
        <w:rStyle w:val="Seitenzahl"/>
      </w:rPr>
      <w:instrText xml:space="preserve"> PAGE </w:instrText>
    </w:r>
    <w:r>
      <w:rPr>
        <w:rStyle w:val="Seitenzahl"/>
      </w:rPr>
      <w:fldChar w:fldCharType="separate"/>
    </w:r>
    <w:r w:rsidR="00216B42">
      <w:rPr>
        <w:rStyle w:val="Seitenzahl"/>
        <w:noProof/>
      </w:rPr>
      <w:t>12</w:t>
    </w:r>
    <w:r>
      <w:rPr>
        <w:rStyle w:val="Seitenzahl"/>
      </w:rPr>
      <w:fldChar w:fldCharType="end"/>
    </w:r>
    <w:r>
      <w:rPr>
        <w:rStyle w:val="Seitenzahl"/>
      </w:rPr>
      <w:t>-</w:t>
    </w:r>
  </w:p>
  <w:p w14:paraId="0FD31270" w14:textId="77777777" w:rsidR="002532BA" w:rsidRDefault="002532BA">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574F" w14:textId="77777777" w:rsidR="007D6DA1" w:rsidRDefault="007D6D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FE02" w14:textId="77777777" w:rsidR="00887829" w:rsidRDefault="00887829">
      <w:r>
        <w:separator/>
      </w:r>
    </w:p>
  </w:footnote>
  <w:footnote w:type="continuationSeparator" w:id="0">
    <w:p w14:paraId="3CF464CD" w14:textId="77777777" w:rsidR="00887829" w:rsidRDefault="00887829">
      <w:r>
        <w:continuationSeparator/>
      </w:r>
    </w:p>
  </w:footnote>
  <w:footnote w:id="1">
    <w:p w14:paraId="24B37F58" w14:textId="77777777" w:rsidR="00401501" w:rsidRPr="006026DC" w:rsidRDefault="00401501" w:rsidP="00401501">
      <w:pPr>
        <w:pStyle w:val="Funotentext"/>
        <w:rPr>
          <w:lang w:val="de-AT"/>
        </w:rPr>
      </w:pPr>
      <w:r w:rsidRPr="006026DC">
        <w:rPr>
          <w:rStyle w:val="Funotenzeichen"/>
        </w:rPr>
        <w:footnoteRef/>
      </w:r>
      <w:r w:rsidRPr="006026DC">
        <w:rPr>
          <w:lang w:val="de-AT"/>
        </w:rPr>
        <w:t xml:space="preserve"> Max Weber, </w:t>
      </w:r>
      <w:r w:rsidRPr="006026DC">
        <w:rPr>
          <w:i/>
          <w:lang w:val="de-AT"/>
        </w:rPr>
        <w:t>Wirtschaft und Gesellschaft</w:t>
      </w:r>
      <w:r w:rsidRPr="006026DC">
        <w:rPr>
          <w:lang w:val="de-AT"/>
        </w:rPr>
        <w:t>, Tübingen, Mohr Siebeck, 1980, S. 553.</w:t>
      </w:r>
    </w:p>
  </w:footnote>
  <w:footnote w:id="2">
    <w:p w14:paraId="15291C67" w14:textId="77777777" w:rsidR="00401501" w:rsidRPr="006026DC" w:rsidRDefault="00401501" w:rsidP="00401501">
      <w:pPr>
        <w:pStyle w:val="Funotentext"/>
        <w:rPr>
          <w:lang w:val="de-AT"/>
        </w:rPr>
      </w:pPr>
      <w:r w:rsidRPr="006026DC">
        <w:rPr>
          <w:rStyle w:val="Funotenzeichen"/>
        </w:rPr>
        <w:footnoteRef/>
      </w:r>
      <w:r w:rsidRPr="006026DC">
        <w:rPr>
          <w:lang w:val="de-AT"/>
        </w:rPr>
        <w:t xml:space="preserve"> </w:t>
      </w:r>
      <w:r w:rsidRPr="006026DC">
        <w:rPr>
          <w:i/>
          <w:lang w:val="de-AT"/>
        </w:rPr>
        <w:t>Verhandlungsschriften Nr. 1 bis 25 zu den Sitzungen des zwischenstaatsamtlichen Komitees für Staatsbedienstetenangelegenheiten</w:t>
      </w:r>
      <w:r w:rsidRPr="006026DC">
        <w:rPr>
          <w:lang w:val="de-AT"/>
        </w:rPr>
        <w:t xml:space="preserve">, Wien, Österreichische Staatsdruckerei, 1919; </w:t>
      </w:r>
      <w:r w:rsidRPr="006026DC">
        <w:rPr>
          <w:i/>
          <w:lang w:val="de-AT"/>
        </w:rPr>
        <w:t>Verhandlungsschriften Nr. 26 bis 50 zu den Sitzungen des zwischenstaatsamtlichen Komitees für Staatsbedienstetenangelegenheiten</w:t>
      </w:r>
      <w:r w:rsidRPr="006026DC">
        <w:rPr>
          <w:lang w:val="de-AT"/>
        </w:rPr>
        <w:t>, Wien, Österreichische Staatsdruckerei, 1919.</w:t>
      </w:r>
    </w:p>
  </w:footnote>
  <w:footnote w:id="3">
    <w:p w14:paraId="026472E6" w14:textId="1C1560EA" w:rsidR="00E17C7D" w:rsidRPr="006026DC" w:rsidRDefault="00E17C7D" w:rsidP="00E17C7D">
      <w:pPr>
        <w:pStyle w:val="Funotentext"/>
        <w:rPr>
          <w:lang w:val="de-AT"/>
        </w:rPr>
      </w:pPr>
      <w:r w:rsidRPr="006026DC">
        <w:rPr>
          <w:rStyle w:val="Funotenzeichen"/>
        </w:rPr>
        <w:footnoteRef/>
      </w:r>
      <w:r w:rsidRPr="006026DC">
        <w:rPr>
          <w:lang w:val="de-AT"/>
        </w:rPr>
        <w:t xml:space="preserve"> Paolo Prodi, „Der Eid in der europäischen Verfassungsgeschichte“ </w:t>
      </w:r>
      <w:r w:rsidRPr="00F2085A">
        <w:rPr>
          <w:i/>
          <w:lang w:val="de-AT"/>
        </w:rPr>
        <w:t>in</w:t>
      </w:r>
      <w:r w:rsidRPr="006026DC">
        <w:rPr>
          <w:lang w:val="de-AT"/>
        </w:rPr>
        <w:t xml:space="preserve"> Ders. (Hg.) </w:t>
      </w:r>
      <w:r w:rsidRPr="00F2085A">
        <w:rPr>
          <w:i/>
          <w:lang w:val="de-AT"/>
        </w:rPr>
        <w:t>Glaube und Eid. Treueformeln, Glaubensbekenntnisse und Sozialdisziplinierung zwischen Mittelalter und Neuzeit</w:t>
      </w:r>
      <w:r w:rsidR="00773154">
        <w:rPr>
          <w:lang w:val="de-AT"/>
        </w:rPr>
        <w:t>,</w:t>
      </w:r>
      <w:r w:rsidRPr="006026DC">
        <w:rPr>
          <w:lang w:val="de-AT"/>
        </w:rPr>
        <w:t xml:space="preserve"> München, Oldenbourg, 1993, S. IV-XXIX, S. VIII.</w:t>
      </w:r>
    </w:p>
  </w:footnote>
  <w:footnote w:id="4">
    <w:p w14:paraId="62988A8A"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Michele Luminati, “Eid” </w:t>
      </w:r>
      <w:r w:rsidRPr="006026DC">
        <w:rPr>
          <w:i/>
          <w:lang w:val="de-AT"/>
        </w:rPr>
        <w:t>in</w:t>
      </w:r>
      <w:r w:rsidRPr="006026DC">
        <w:rPr>
          <w:lang w:val="de-AT"/>
        </w:rPr>
        <w:t xml:space="preserve"> Friedrich Jaeger </w:t>
      </w:r>
      <w:r w:rsidRPr="006026DC">
        <w:rPr>
          <w:i/>
          <w:lang w:val="de-AT"/>
        </w:rPr>
        <w:t>Enzyklopädie der Neuzeit</w:t>
      </w:r>
      <w:r w:rsidRPr="006026DC">
        <w:rPr>
          <w:lang w:val="de-AT"/>
        </w:rPr>
        <w:t>, Stuttgart, J. B. Metzler Verlag, 2005, S. 90-93, 90.</w:t>
      </w:r>
    </w:p>
  </w:footnote>
  <w:footnote w:id="5">
    <w:p w14:paraId="1107B7B0"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Ernst Friesenhahn, </w:t>
      </w:r>
      <w:r w:rsidRPr="006026DC">
        <w:rPr>
          <w:i/>
          <w:lang w:val="de-AT"/>
        </w:rPr>
        <w:t>Der politische Eid</w:t>
      </w:r>
      <w:r w:rsidRPr="006026DC">
        <w:rPr>
          <w:lang w:val="de-AT"/>
        </w:rPr>
        <w:t>, Bonn, Friedrich Rohrscheid Verlag, 1928, S. 3.</w:t>
      </w:r>
    </w:p>
  </w:footnote>
  <w:footnote w:id="6">
    <w:p w14:paraId="701EA676" w14:textId="07E0B339" w:rsidR="00E17C7D" w:rsidRPr="006026DC" w:rsidRDefault="00E17C7D" w:rsidP="00E17C7D">
      <w:pPr>
        <w:pStyle w:val="Funotentext"/>
        <w:rPr>
          <w:lang w:val="de-AT"/>
        </w:rPr>
      </w:pPr>
      <w:r w:rsidRPr="006026DC">
        <w:rPr>
          <w:rStyle w:val="Funotenzeichen"/>
        </w:rPr>
        <w:footnoteRef/>
      </w:r>
      <w:r w:rsidR="00773154">
        <w:rPr>
          <w:lang w:val="de-AT"/>
        </w:rPr>
        <w:t xml:space="preserve"> Helmut Widder</w:t>
      </w:r>
      <w:r w:rsidRPr="006026DC">
        <w:rPr>
          <w:lang w:val="de-AT"/>
        </w:rPr>
        <w:t xml:space="preserve"> „Form und Funktion politischer Treuegelöbnisse“ </w:t>
      </w:r>
      <w:r w:rsidRPr="006026DC">
        <w:rPr>
          <w:i/>
          <w:lang w:val="de-AT"/>
        </w:rPr>
        <w:t>in</w:t>
      </w:r>
      <w:r w:rsidRPr="006026DC">
        <w:rPr>
          <w:lang w:val="de-AT"/>
        </w:rPr>
        <w:t xml:space="preserve"> Michael Fischer (Hg.), </w:t>
      </w:r>
      <w:r w:rsidRPr="006026DC">
        <w:rPr>
          <w:i/>
          <w:lang w:val="de-AT"/>
        </w:rPr>
        <w:t>Dimensionen des Rechts. Gedächtnisschrift für René Marcic</w:t>
      </w:r>
      <w:r w:rsidRPr="006026DC">
        <w:rPr>
          <w:lang w:val="de-AT"/>
        </w:rPr>
        <w:t>, Duncker &amp; Humblot, Berlin, 1974, S. 701-720, 711.</w:t>
      </w:r>
    </w:p>
  </w:footnote>
  <w:footnote w:id="7">
    <w:p w14:paraId="62E500AA"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Vanessa Conze, „Treue schwören. Der Konflikt um den Verfassungseid in der Weimarer Republik“, </w:t>
      </w:r>
      <w:r w:rsidRPr="006026DC">
        <w:rPr>
          <w:i/>
          <w:lang w:val="de-AT"/>
        </w:rPr>
        <w:t>Historische Zeitschrift</w:t>
      </w:r>
      <w:r w:rsidRPr="006026DC">
        <w:rPr>
          <w:lang w:val="de-AT"/>
        </w:rPr>
        <w:t>, Band 297 2/2013, S. 354-389, 358.</w:t>
      </w:r>
    </w:p>
  </w:footnote>
  <w:footnote w:id="8">
    <w:p w14:paraId="06576715"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Ibid. S. 358f.</w:t>
      </w:r>
    </w:p>
  </w:footnote>
  <w:footnote w:id="9">
    <w:p w14:paraId="621A44A1" w14:textId="2E5229A5" w:rsidR="00E17C7D" w:rsidRPr="006026DC" w:rsidRDefault="00E17C7D" w:rsidP="00E17C7D">
      <w:pPr>
        <w:pStyle w:val="Funotentext"/>
        <w:rPr>
          <w:lang w:val="de-AT"/>
        </w:rPr>
      </w:pPr>
      <w:r w:rsidRPr="006026DC">
        <w:rPr>
          <w:rStyle w:val="Funotenzeichen"/>
        </w:rPr>
        <w:footnoteRef/>
      </w:r>
      <w:r w:rsidRPr="006026DC">
        <w:rPr>
          <w:lang w:val="de-AT"/>
        </w:rPr>
        <w:t xml:space="preserve"> Dietlinde Munzel-Everling, „Eid“ </w:t>
      </w:r>
      <w:r w:rsidRPr="00F2085A">
        <w:rPr>
          <w:i/>
          <w:lang w:val="de-AT"/>
        </w:rPr>
        <w:t>in</w:t>
      </w:r>
      <w:r w:rsidRPr="006026DC">
        <w:rPr>
          <w:lang w:val="de-AT"/>
        </w:rPr>
        <w:t xml:space="preserve"> </w:t>
      </w:r>
      <w:r w:rsidR="00F2085A">
        <w:rPr>
          <w:lang w:val="de-AT"/>
        </w:rPr>
        <w:t xml:space="preserve">Albrecht Cordes u. a. (Hg.), </w:t>
      </w:r>
      <w:r w:rsidRPr="006026DC">
        <w:rPr>
          <w:i/>
          <w:lang w:val="de-AT"/>
        </w:rPr>
        <w:t>Handwörterbuch zur deutschen Rechtsgeschichte</w:t>
      </w:r>
      <w:r w:rsidRPr="006026DC">
        <w:rPr>
          <w:lang w:val="de-AT"/>
        </w:rPr>
        <w:t>, Band 2, Berlin, Erich Schmidt Verlag, 2012, S. 1249-1261, 1250.</w:t>
      </w:r>
    </w:p>
  </w:footnote>
  <w:footnote w:id="10">
    <w:p w14:paraId="24C7B094"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Vanessa Conze, „Treue schwören. Der Konflikt um den Verfassungseid in der Weimarer Republik“, op. cit., S. 355.</w:t>
      </w:r>
    </w:p>
  </w:footnote>
  <w:footnote w:id="11">
    <w:p w14:paraId="1BCDDA4F"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Ernst Friesenhahn, </w:t>
      </w:r>
      <w:r w:rsidRPr="006026DC">
        <w:rPr>
          <w:i/>
          <w:lang w:val="de-AT"/>
        </w:rPr>
        <w:t>Der politische Eid</w:t>
      </w:r>
      <w:r w:rsidRPr="006026DC">
        <w:rPr>
          <w:lang w:val="de-AT"/>
        </w:rPr>
        <w:t>, op. cit., S. 21.</w:t>
      </w:r>
    </w:p>
  </w:footnote>
  <w:footnote w:id="12">
    <w:p w14:paraId="433CD98C" w14:textId="324EAF64" w:rsidR="00E17C7D" w:rsidRPr="006026DC" w:rsidRDefault="00E17C7D" w:rsidP="00E17C7D">
      <w:pPr>
        <w:pStyle w:val="Funotentext"/>
        <w:rPr>
          <w:lang w:val="de-AT"/>
        </w:rPr>
      </w:pPr>
      <w:r w:rsidRPr="006026DC">
        <w:rPr>
          <w:rStyle w:val="Funotenzeichen"/>
        </w:rPr>
        <w:footnoteRef/>
      </w:r>
      <w:r w:rsidRPr="006026DC">
        <w:rPr>
          <w:lang w:val="de-AT"/>
        </w:rPr>
        <w:t xml:space="preserve"> Christoph Becker, „Gelöbnis“ </w:t>
      </w:r>
      <w:r w:rsidR="00F2085A" w:rsidRPr="00F2085A">
        <w:rPr>
          <w:i/>
          <w:lang w:val="de-AT"/>
        </w:rPr>
        <w:t>in</w:t>
      </w:r>
      <w:r w:rsidR="00F2085A" w:rsidRPr="006026DC">
        <w:rPr>
          <w:lang w:val="de-AT"/>
        </w:rPr>
        <w:t xml:space="preserve"> </w:t>
      </w:r>
      <w:r w:rsidR="00F2085A">
        <w:rPr>
          <w:lang w:val="de-AT"/>
        </w:rPr>
        <w:t>Albrecht Cordes u. a. (Hg.),</w:t>
      </w:r>
      <w:r w:rsidRPr="006026DC">
        <w:rPr>
          <w:lang w:val="de-AT"/>
        </w:rPr>
        <w:t xml:space="preserve"> </w:t>
      </w:r>
      <w:r w:rsidRPr="006026DC">
        <w:rPr>
          <w:i/>
          <w:lang w:val="de-AT"/>
        </w:rPr>
        <w:t>Handwörterbuch zur deutschen Rechtsgeschichte</w:t>
      </w:r>
      <w:r w:rsidRPr="006026DC">
        <w:rPr>
          <w:lang w:val="de-AT"/>
        </w:rPr>
        <w:t>, Band 2, Berlin, Erich Schmidt Verlag, 2012, S. 44-47, 44.</w:t>
      </w:r>
    </w:p>
  </w:footnote>
  <w:footnote w:id="13">
    <w:p w14:paraId="1072A954"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Ruth Schmidt-Wiegand, „Eid und Gelöbnis, Form und Formular im mittelalterlichen Recht“ </w:t>
      </w:r>
      <w:r w:rsidRPr="006026DC">
        <w:rPr>
          <w:i/>
          <w:lang w:val="de-AT"/>
        </w:rPr>
        <w:t>in</w:t>
      </w:r>
      <w:r w:rsidRPr="006026DC">
        <w:rPr>
          <w:lang w:val="de-AT"/>
        </w:rPr>
        <w:t xml:space="preserve"> Peter Classen (Hg.), </w:t>
      </w:r>
      <w:r w:rsidRPr="006026DC">
        <w:rPr>
          <w:i/>
          <w:lang w:val="de-AT"/>
        </w:rPr>
        <w:t>Recht und Schrift im Mittelalter</w:t>
      </w:r>
      <w:r w:rsidRPr="006026DC">
        <w:rPr>
          <w:lang w:val="de-AT"/>
        </w:rPr>
        <w:t>, Sigmaringen, Jan Thorbecke Verlag, 1977, S. 55-90, 57.</w:t>
      </w:r>
    </w:p>
  </w:footnote>
  <w:footnote w:id="14">
    <w:p w14:paraId="19D6AA59" w14:textId="09067A4B" w:rsidR="00E17C7D" w:rsidRPr="00392D51" w:rsidRDefault="00E17C7D" w:rsidP="00E17C7D">
      <w:pPr>
        <w:pStyle w:val="Funotentext"/>
        <w:rPr>
          <w:lang w:val="en-US"/>
        </w:rPr>
      </w:pPr>
      <w:r w:rsidRPr="006026DC">
        <w:rPr>
          <w:rStyle w:val="Funotenzeichen"/>
        </w:rPr>
        <w:footnoteRef/>
      </w:r>
      <w:r w:rsidRPr="00392D51">
        <w:rPr>
          <w:lang w:val="en-US"/>
        </w:rPr>
        <w:t xml:space="preserve"> </w:t>
      </w:r>
      <w:r w:rsidRPr="006026DC">
        <w:rPr>
          <w:lang w:val="de-AT"/>
        </w:rPr>
        <w:t>Christoph Becker, „Gelöbnis“, op. cit., S. 44.</w:t>
      </w:r>
    </w:p>
  </w:footnote>
  <w:footnote w:id="15">
    <w:p w14:paraId="5B51DFF6"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Georg Eckert, “Treue” </w:t>
      </w:r>
      <w:r w:rsidRPr="006026DC">
        <w:rPr>
          <w:i/>
          <w:lang w:val="de-AT"/>
        </w:rPr>
        <w:t>in</w:t>
      </w:r>
      <w:r w:rsidRPr="006026DC">
        <w:rPr>
          <w:lang w:val="de-AT"/>
        </w:rPr>
        <w:t xml:space="preserve"> Friedrich Jaeger </w:t>
      </w:r>
      <w:r w:rsidRPr="006026DC">
        <w:rPr>
          <w:i/>
          <w:lang w:val="de-AT"/>
        </w:rPr>
        <w:t>Enzyklopädie der Neuzeit,</w:t>
      </w:r>
      <w:r w:rsidRPr="006026DC">
        <w:rPr>
          <w:lang w:val="de-AT"/>
        </w:rPr>
        <w:t xml:space="preserve"> Stuttgart, J. B. Metzler Verlag, 2005, S. 744-748, 744.</w:t>
      </w:r>
    </w:p>
  </w:footnote>
  <w:footnote w:id="16">
    <w:p w14:paraId="6F09D314"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So formulieren Buschmann und Murr, </w:t>
      </w:r>
      <w:r>
        <w:rPr>
          <w:lang w:val="de-AT"/>
        </w:rPr>
        <w:t>Bezug nehmend auf Georg Simmel</w:t>
      </w:r>
      <w:r w:rsidRPr="006026DC">
        <w:rPr>
          <w:lang w:val="de-AT"/>
        </w:rPr>
        <w:t xml:space="preserve">: Nikolaus Buschmann und Karl Borromäus Murr, „Treue“ als Forschungskonzept? Begriffliche und methodische Sondierungen“ </w:t>
      </w:r>
      <w:r w:rsidRPr="00443983">
        <w:rPr>
          <w:i/>
          <w:lang w:val="de-AT"/>
        </w:rPr>
        <w:t>in</w:t>
      </w:r>
      <w:r w:rsidRPr="006026DC">
        <w:rPr>
          <w:lang w:val="de-AT"/>
        </w:rPr>
        <w:t xml:space="preserve"> Dies. (Hg.), </w:t>
      </w:r>
      <w:r w:rsidRPr="006026DC">
        <w:rPr>
          <w:i/>
          <w:lang w:val="de-AT"/>
        </w:rPr>
        <w:t>Treue. Politische Loyalität und militärische Gefolgschaft in der Moderne</w:t>
      </w:r>
      <w:r w:rsidRPr="006026DC">
        <w:rPr>
          <w:lang w:val="de-AT"/>
        </w:rPr>
        <w:t>, Göttingen, Vandenhoeck &amp; Ruprecht, 2008, S. 11-35, 12f.</w:t>
      </w:r>
    </w:p>
  </w:footnote>
  <w:footnote w:id="17">
    <w:p w14:paraId="66F3A9FD"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Rainer E. Wiedenmann, „Treue und Loyalität im Prozess gesellschaftlichen Wandels: eine soziologische Skizze“ </w:t>
      </w:r>
      <w:r w:rsidRPr="006026DC">
        <w:rPr>
          <w:i/>
          <w:lang w:val="de-AT"/>
        </w:rPr>
        <w:t>in</w:t>
      </w:r>
      <w:r w:rsidRPr="006026DC">
        <w:rPr>
          <w:lang w:val="de-AT"/>
        </w:rPr>
        <w:t xml:space="preserve"> Nikolaus Buschmann und Karl Borromäus Murr (Hg.), </w:t>
      </w:r>
      <w:r w:rsidRPr="006026DC">
        <w:rPr>
          <w:i/>
          <w:lang w:val="de-AT"/>
        </w:rPr>
        <w:t>Treue. Politische Loyalität und militärische Gefolgschaft in der Moderne</w:t>
      </w:r>
      <w:r w:rsidRPr="006026DC">
        <w:rPr>
          <w:lang w:val="de-AT"/>
        </w:rPr>
        <w:t>, Göttingen, Vandenhoeck &amp; Ruprecht, 2008, S. 36-71, 40.</w:t>
      </w:r>
    </w:p>
  </w:footnote>
  <w:footnote w:id="18">
    <w:p w14:paraId="7FFDC8B6" w14:textId="77777777" w:rsidR="00E17C7D" w:rsidRPr="00392D51" w:rsidRDefault="00E17C7D" w:rsidP="00E17C7D">
      <w:pPr>
        <w:pStyle w:val="Funotentext"/>
        <w:rPr>
          <w:lang w:val="en-US"/>
        </w:rPr>
      </w:pPr>
      <w:r w:rsidRPr="006026DC">
        <w:rPr>
          <w:rStyle w:val="Funotenzeichen"/>
        </w:rPr>
        <w:footnoteRef/>
      </w:r>
      <w:r w:rsidRPr="00392D51">
        <w:rPr>
          <w:lang w:val="en-US"/>
        </w:rPr>
        <w:t xml:space="preserve"> </w:t>
      </w:r>
      <w:r w:rsidRPr="006026DC">
        <w:rPr>
          <w:lang w:val="de-AT"/>
        </w:rPr>
        <w:t xml:space="preserve">Ernst Friesenhahn, </w:t>
      </w:r>
      <w:r w:rsidRPr="006026DC">
        <w:rPr>
          <w:i/>
          <w:lang w:val="de-AT"/>
        </w:rPr>
        <w:t>Der politische Eid</w:t>
      </w:r>
      <w:r w:rsidRPr="006026DC">
        <w:rPr>
          <w:lang w:val="de-AT"/>
        </w:rPr>
        <w:t>, op. cit., S.83.</w:t>
      </w:r>
    </w:p>
  </w:footnote>
  <w:footnote w:id="19">
    <w:p w14:paraId="4609E208"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Ernst Friesenhahn, </w:t>
      </w:r>
      <w:r w:rsidRPr="006026DC">
        <w:rPr>
          <w:i/>
          <w:lang w:val="de-AT"/>
        </w:rPr>
        <w:t>Der politische Eid</w:t>
      </w:r>
      <w:r w:rsidRPr="006026DC">
        <w:rPr>
          <w:lang w:val="de-AT"/>
        </w:rPr>
        <w:t>, op. cit., S. 84.</w:t>
      </w:r>
    </w:p>
  </w:footnote>
  <w:footnote w:id="20">
    <w:p w14:paraId="043126C0" w14:textId="67464C95" w:rsidR="00E17C7D" w:rsidRPr="006026DC" w:rsidRDefault="00E17C7D" w:rsidP="00E17C7D">
      <w:pPr>
        <w:pStyle w:val="Funotentext"/>
        <w:rPr>
          <w:lang w:val="de-AT"/>
        </w:rPr>
      </w:pPr>
      <w:r w:rsidRPr="006026DC">
        <w:rPr>
          <w:rStyle w:val="Funotenzeichen"/>
        </w:rPr>
        <w:footnoteRef/>
      </w:r>
      <w:r w:rsidRPr="006026DC">
        <w:rPr>
          <w:lang w:val="de-AT"/>
        </w:rPr>
        <w:t xml:space="preserve"> Es gab eine Vielzahl von Varianten für unterschiedliche Gruppen von Staatsbediensteten und zudem diverse Änderungen der Formel im Lauf des 19.</w:t>
      </w:r>
      <w:r w:rsidR="00AC68C8">
        <w:rPr>
          <w:lang w:val="de-AT"/>
        </w:rPr>
        <w:t xml:space="preserve"> </w:t>
      </w:r>
      <w:r w:rsidRPr="006026DC">
        <w:rPr>
          <w:lang w:val="de-AT"/>
        </w:rPr>
        <w:t xml:space="preserve">Jahrhunderts. Der Bezug auf die Verfassung war nicht in all diesen Varianten gegeben, vgl. dazu den Beitrag von Thomas Stockinger in diesem Band. </w:t>
      </w:r>
    </w:p>
  </w:footnote>
  <w:footnote w:id="21">
    <w:p w14:paraId="6CA83F0E" w14:textId="77777777" w:rsidR="00E17C7D" w:rsidRPr="00F17089" w:rsidRDefault="00E17C7D" w:rsidP="00E17C7D">
      <w:pPr>
        <w:pStyle w:val="Funotentext"/>
        <w:rPr>
          <w:lang w:val="de-AT"/>
        </w:rPr>
      </w:pPr>
      <w:r w:rsidRPr="006026DC">
        <w:rPr>
          <w:rStyle w:val="Funotenzeichen"/>
        </w:rPr>
        <w:footnoteRef/>
      </w:r>
      <w:r w:rsidRPr="006026DC">
        <w:rPr>
          <w:lang w:val="de-AT"/>
        </w:rPr>
        <w:t xml:space="preserve"> Zitiert in Gertrude Enderle-Burcel und Michaela Follner, </w:t>
      </w:r>
      <w:r w:rsidRPr="006026DC">
        <w:rPr>
          <w:i/>
          <w:lang w:val="de-AT"/>
        </w:rPr>
        <w:t>Diener vieler Herren. Biographisches Handbuch der Sektionschefs der Ersten Republik und des Jahres 1945</w:t>
      </w:r>
      <w:r w:rsidRPr="006026DC">
        <w:rPr>
          <w:lang w:val="de-AT"/>
        </w:rPr>
        <w:t xml:space="preserve">, Wien, Dokumentationsarchiv des österreichischen </w:t>
      </w:r>
      <w:r w:rsidRPr="00F17089">
        <w:rPr>
          <w:lang w:val="de-AT"/>
        </w:rPr>
        <w:t>Widerstandes/Österreichische Gesellschaft für historische Quellenstudien, 1997, S. 528.</w:t>
      </w:r>
    </w:p>
  </w:footnote>
  <w:footnote w:id="22">
    <w:p w14:paraId="0D87FBD8" w14:textId="77777777" w:rsidR="00E17C7D" w:rsidRPr="00F17089" w:rsidRDefault="00E17C7D" w:rsidP="00E17C7D">
      <w:pPr>
        <w:pStyle w:val="Funotentext"/>
        <w:rPr>
          <w:lang w:val="de-AT"/>
        </w:rPr>
      </w:pPr>
      <w:r w:rsidRPr="00F17089">
        <w:rPr>
          <w:rStyle w:val="Funotenzeichen"/>
        </w:rPr>
        <w:footnoteRef/>
      </w:r>
      <w:r w:rsidRPr="00392D51">
        <w:rPr>
          <w:lang w:val="en-US"/>
        </w:rPr>
        <w:t xml:space="preserve"> </w:t>
      </w:r>
      <w:r w:rsidRPr="00F17089">
        <w:rPr>
          <w:lang w:val="de-AT"/>
        </w:rPr>
        <w:t>Näheres zu diesem Komitee im folgenden Unterkapitel.</w:t>
      </w:r>
    </w:p>
  </w:footnote>
  <w:footnote w:id="23">
    <w:p w14:paraId="34D53568"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Dienstpragmatik, Gesetz vom 25. 1. 1914, Reichsgesetzblatt </w:t>
      </w:r>
      <w:r>
        <w:rPr>
          <w:lang w:val="de-AT"/>
        </w:rPr>
        <w:t xml:space="preserve">der im Reichsrate vertreten Königreiche und Länder </w:t>
      </w:r>
      <w:r w:rsidRPr="006026DC">
        <w:rPr>
          <w:lang w:val="de-AT"/>
        </w:rPr>
        <w:t>Nr. 15.</w:t>
      </w:r>
    </w:p>
  </w:footnote>
  <w:footnote w:id="24">
    <w:p w14:paraId="726EA980" w14:textId="03A1F4D7" w:rsidR="00E17C7D" w:rsidRPr="006026DC" w:rsidRDefault="00E17C7D" w:rsidP="00E17C7D">
      <w:pPr>
        <w:pStyle w:val="Funotentext"/>
        <w:rPr>
          <w:lang w:val="de-AT"/>
        </w:rPr>
      </w:pPr>
      <w:r w:rsidRPr="006026DC">
        <w:rPr>
          <w:rStyle w:val="Funotenzeichen"/>
        </w:rPr>
        <w:footnoteRef/>
      </w:r>
      <w:r w:rsidRPr="006026DC">
        <w:rPr>
          <w:lang w:val="de-AT"/>
        </w:rPr>
        <w:t xml:space="preserve"> „Verhandlungsschrift Nr. 15 zur Sitzung vo</w:t>
      </w:r>
      <w:r w:rsidR="00AC68C8">
        <w:rPr>
          <w:lang w:val="de-AT"/>
        </w:rPr>
        <w:t xml:space="preserve">m 20. Jänner 1919“, Punkt 2, </w:t>
      </w:r>
      <w:r w:rsidRPr="006026DC">
        <w:rPr>
          <w:i/>
          <w:lang w:val="de-AT"/>
        </w:rPr>
        <w:t>Verhandlungsschriften Nr. 1 bis 25 zu den Sitzungen des zwischenstaatsamtlichen Komitees für Staatsbedienstetenangelegenheiten</w:t>
      </w:r>
      <w:r w:rsidRPr="006026DC">
        <w:rPr>
          <w:lang w:val="de-AT"/>
        </w:rPr>
        <w:t>, Wien, Österreichische Staatsdruckerei, 1919, S. 38. In den Verhandlungsschriften ist abgesehen von den erwähnten Erörterungen über die Eidesformel ansonsten in allen Anfragen von Staatsbediensteten in umstrittenen Gebieten nur</w:t>
      </w:r>
      <w:r w:rsidR="00AC68C8">
        <w:rPr>
          <w:lang w:val="de-AT"/>
        </w:rPr>
        <w:t xml:space="preserve"> </w:t>
      </w:r>
      <w:r w:rsidRPr="006026DC">
        <w:rPr>
          <w:lang w:val="de-AT"/>
        </w:rPr>
        <w:t xml:space="preserve">von Gelöbnissen </w:t>
      </w:r>
      <w:r w:rsidR="00AC68C8">
        <w:rPr>
          <w:lang w:val="de-AT"/>
        </w:rPr>
        <w:t xml:space="preserve">und Erklärungen </w:t>
      </w:r>
      <w:r w:rsidRPr="006026DC">
        <w:rPr>
          <w:lang w:val="de-AT"/>
        </w:rPr>
        <w:t>die Rede.</w:t>
      </w:r>
    </w:p>
  </w:footnote>
  <w:footnote w:id="25">
    <w:p w14:paraId="1A6981B9" w14:textId="2A7F0DEF" w:rsidR="00E17C7D" w:rsidRPr="006026DC" w:rsidRDefault="00E17C7D" w:rsidP="00E17C7D">
      <w:pPr>
        <w:pStyle w:val="Funotentext"/>
        <w:rPr>
          <w:lang w:val="de-AT"/>
        </w:rPr>
      </w:pPr>
      <w:r w:rsidRPr="006026DC">
        <w:rPr>
          <w:rStyle w:val="Funotenzeichen"/>
        </w:rPr>
        <w:footnoteRef/>
      </w:r>
      <w:r w:rsidRPr="006026DC">
        <w:rPr>
          <w:lang w:val="de-AT"/>
        </w:rPr>
        <w:t xml:space="preserve"> </w:t>
      </w:r>
      <w:r w:rsidR="00AC68C8">
        <w:rPr>
          <w:lang w:val="de-AT"/>
        </w:rPr>
        <w:t>„</w:t>
      </w:r>
      <w:r w:rsidRPr="006026DC">
        <w:rPr>
          <w:lang w:val="de-AT"/>
        </w:rPr>
        <w:t xml:space="preserve">Verhandlungsschrift Nr. 26 </w:t>
      </w:r>
      <w:r w:rsidR="00AC68C8">
        <w:rPr>
          <w:lang w:val="de-AT"/>
        </w:rPr>
        <w:t xml:space="preserve">zur Sitzung </w:t>
      </w:r>
      <w:r w:rsidRPr="006026DC">
        <w:rPr>
          <w:lang w:val="de-AT"/>
        </w:rPr>
        <w:t>vom 20. Februar 1919</w:t>
      </w:r>
      <w:r w:rsidR="00AC68C8">
        <w:rPr>
          <w:lang w:val="de-AT"/>
        </w:rPr>
        <w:t>“, Punkt 2,</w:t>
      </w:r>
      <w:r w:rsidRPr="006026DC">
        <w:rPr>
          <w:lang w:val="de-AT"/>
        </w:rPr>
        <w:t xml:space="preserve"> </w:t>
      </w:r>
      <w:r w:rsidRPr="006026DC">
        <w:rPr>
          <w:i/>
          <w:lang w:val="de-AT"/>
        </w:rPr>
        <w:t>Verhandlungsschriften Nr. 26 bis 50 zu den Sitzungen des zwischenstaatsamtlichen Komitees für Staatsbedienstetenangelegenheiten</w:t>
      </w:r>
      <w:r w:rsidRPr="006026DC">
        <w:rPr>
          <w:lang w:val="de-AT"/>
        </w:rPr>
        <w:t>, Wien, Österreichische Staatsdruckerei, 1919, S. 4.</w:t>
      </w:r>
    </w:p>
  </w:footnote>
  <w:footnote w:id="26">
    <w:p w14:paraId="5CA2512D" w14:textId="614456FB" w:rsidR="00E17C7D" w:rsidRPr="006026DC" w:rsidRDefault="00E17C7D" w:rsidP="00E17C7D">
      <w:pPr>
        <w:pStyle w:val="Funotentext"/>
        <w:rPr>
          <w:lang w:val="de-AT"/>
        </w:rPr>
      </w:pPr>
      <w:r w:rsidRPr="006026DC">
        <w:rPr>
          <w:rStyle w:val="Funotenzeichen"/>
        </w:rPr>
        <w:footnoteRef/>
      </w:r>
      <w:r w:rsidRPr="006026DC">
        <w:rPr>
          <w:lang w:val="de-AT"/>
        </w:rPr>
        <w:t xml:space="preserve"> Hier </w:t>
      </w:r>
      <w:r w:rsidR="00AC68C8">
        <w:rPr>
          <w:lang w:val="de-AT"/>
        </w:rPr>
        <w:t xml:space="preserve">exemplarisch </w:t>
      </w:r>
      <w:r w:rsidRPr="006026DC">
        <w:rPr>
          <w:lang w:val="de-AT"/>
        </w:rPr>
        <w:t xml:space="preserve">der Beginn </w:t>
      </w:r>
      <w:r w:rsidR="00AC68C8">
        <w:rPr>
          <w:lang w:val="de-AT"/>
        </w:rPr>
        <w:t>des Diensteids eines Konsuls aus dem Jahr</w:t>
      </w:r>
      <w:r w:rsidRPr="006026DC">
        <w:rPr>
          <w:lang w:val="de-AT"/>
        </w:rPr>
        <w:t xml:space="preserve"> 1895, zitiert in Gertrude Enderle-Burcel und Michaela Follner, </w:t>
      </w:r>
      <w:r w:rsidRPr="00AC68C8">
        <w:rPr>
          <w:i/>
          <w:lang w:val="de-AT"/>
        </w:rPr>
        <w:t>Diener vieler Herren</w:t>
      </w:r>
      <w:r w:rsidRPr="006026DC">
        <w:rPr>
          <w:lang w:val="de-AT"/>
        </w:rPr>
        <w:t>, op. cit., S. 527.</w:t>
      </w:r>
    </w:p>
  </w:footnote>
  <w:footnote w:id="27">
    <w:p w14:paraId="5A110350"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Verordnung über die Vereidigung der öffentlichen Beamten vom 14. August 19</w:t>
      </w:r>
      <w:r>
        <w:rPr>
          <w:lang w:val="de-AT"/>
        </w:rPr>
        <w:t xml:space="preserve">19, Deutsches </w:t>
      </w:r>
      <w:r w:rsidRPr="006026DC">
        <w:rPr>
          <w:lang w:val="de-AT"/>
        </w:rPr>
        <w:t>Reichsgesetzblatt</w:t>
      </w:r>
      <w:r>
        <w:rPr>
          <w:lang w:val="de-AT"/>
        </w:rPr>
        <w:t xml:space="preserve"> 1419</w:t>
      </w:r>
      <w:r w:rsidRPr="006026DC">
        <w:rPr>
          <w:lang w:val="de-AT"/>
        </w:rPr>
        <w:t>.</w:t>
      </w:r>
    </w:p>
  </w:footnote>
  <w:footnote w:id="28">
    <w:p w14:paraId="59B8F757"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Vanessa Conze, „Treue schwören. Der Konflikt um den Verfassungseid in der Weimarer Republik“, op. cit., S. 355.</w:t>
      </w:r>
    </w:p>
  </w:footnote>
  <w:footnote w:id="29">
    <w:p w14:paraId="27F5B84C"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Hans Kelsen, Georg Froehlich und Adolf Merkl (Hg.), </w:t>
      </w:r>
      <w:r w:rsidRPr="006026DC">
        <w:rPr>
          <w:i/>
          <w:lang w:val="de-AT"/>
        </w:rPr>
        <w:t>Die Verfassungsgesetze der Republik Österreich: mit einer historischen Übersicht und kritischen Erläuterungen</w:t>
      </w:r>
      <w:r w:rsidRPr="006026DC">
        <w:rPr>
          <w:lang w:val="de-AT"/>
        </w:rPr>
        <w:t>, Bd. 5: Die Bundesverfassung vom 1. Oktober 1920, Wien, Deuticke, 1922, S. 135f.</w:t>
      </w:r>
    </w:p>
  </w:footnote>
  <w:footnote w:id="30">
    <w:p w14:paraId="18AC0079"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Ernst Friesenhahn, </w:t>
      </w:r>
      <w:r w:rsidRPr="006026DC">
        <w:rPr>
          <w:i/>
          <w:lang w:val="de-AT"/>
        </w:rPr>
        <w:t>Der politische Eid</w:t>
      </w:r>
      <w:r w:rsidRPr="006026DC">
        <w:rPr>
          <w:lang w:val="de-AT"/>
        </w:rPr>
        <w:t>, op. cit., S. 86. Von der Verfassung ist in der Eidesformel allerdings nicht die Rede, lediglich die Gesetze des deutschösterreichischen Staates seien „unverbrüchlich zu beobachten“.</w:t>
      </w:r>
    </w:p>
  </w:footnote>
  <w:footnote w:id="31">
    <w:p w14:paraId="199AD2AA"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Paolo Prodi, „Der Eid in der europäischen Verfassungsgeschichte“, op. cit., S. XXVIII.</w:t>
      </w:r>
    </w:p>
  </w:footnote>
  <w:footnote w:id="32">
    <w:p w14:paraId="639079C7" w14:textId="77777777" w:rsidR="00E17C7D" w:rsidRPr="006026DC" w:rsidRDefault="00E17C7D" w:rsidP="00E17C7D">
      <w:pPr>
        <w:pStyle w:val="Funotentext"/>
        <w:rPr>
          <w:rStyle w:val="FunotentextZchn"/>
        </w:rPr>
      </w:pPr>
      <w:r w:rsidRPr="006026DC">
        <w:rPr>
          <w:rStyle w:val="Funotenzeichen"/>
        </w:rPr>
        <w:footnoteRef/>
      </w:r>
      <w:r w:rsidRPr="006026DC">
        <w:rPr>
          <w:lang w:val="de-AT"/>
        </w:rPr>
        <w:t xml:space="preserve"> </w:t>
      </w:r>
      <w:r w:rsidRPr="00392D51">
        <w:rPr>
          <w:rStyle w:val="FunotentextZchn"/>
          <w:lang w:val="de-AT"/>
        </w:rPr>
        <w:t xml:space="preserve">„Die Dienstpragmatik führt unter den allgemeinen Pflichten der Beamten an erster Stelle die Pflicht zur Treue und zum Gehorsam gegen den Kaiser an. Nach der Änderung der Staatsform wird diese […] Bestimmung nunmehr dahin gedeutet, daß an Stelle des persönlichen Treueverhältnisses zum Monarchen ein Treueverhältnis zum Staate und ein persönliches Treueverhältnis zu der vom Bundespräsidenten ernannten Bundesregierung getreten ist.“, vgl. Erich Gruber und Richard Pfaundler, „Die Besoldungsverhältnisse der Beamtenschaft und die neue Entwicklung der Besoldungspolitik in Österreich“ </w:t>
      </w:r>
      <w:r w:rsidRPr="00392D51">
        <w:rPr>
          <w:rStyle w:val="FunotentextZchn"/>
          <w:i/>
          <w:lang w:val="de-AT"/>
        </w:rPr>
        <w:t>in</w:t>
      </w:r>
      <w:r w:rsidRPr="00392D51">
        <w:rPr>
          <w:rStyle w:val="FunotentextZchn"/>
          <w:lang w:val="de-AT"/>
        </w:rPr>
        <w:t xml:space="preserve"> Wilhelm Gerloff (Hg.), Die Beamtenbesoldung im modernen Staat, 2. </w:t>
      </w:r>
      <w:r w:rsidRPr="006026DC">
        <w:rPr>
          <w:rStyle w:val="FunotentextZchn"/>
        </w:rPr>
        <w:t>Teil (Schriften des Vereins für Socialpolitik 184/2), München/Leipzig, Duncker &amp; Humblot, 1934, S. 107-183, 116.</w:t>
      </w:r>
    </w:p>
  </w:footnote>
  <w:footnote w:id="33">
    <w:p w14:paraId="688016C8" w14:textId="77777777" w:rsidR="00E17C7D" w:rsidRPr="00392D51" w:rsidRDefault="00E17C7D" w:rsidP="00E17C7D">
      <w:pPr>
        <w:pStyle w:val="Funotentext"/>
        <w:rPr>
          <w:lang w:val="en-US"/>
        </w:rPr>
      </w:pPr>
      <w:r w:rsidRPr="006026DC">
        <w:rPr>
          <w:rStyle w:val="Funotenzeichen"/>
        </w:rPr>
        <w:footnoteRef/>
      </w:r>
      <w:r w:rsidRPr="006026DC">
        <w:rPr>
          <w:lang w:val="de-AT"/>
        </w:rPr>
        <w:t xml:space="preserve"> </w:t>
      </w:r>
      <w:r w:rsidRPr="00392D51">
        <w:rPr>
          <w:lang w:val="en-US"/>
        </w:rPr>
        <w:t>Vanessa Conze, „Treue schwören. Der Konflikt um den Verfassungseid in der Weimarer Republik“, op. cit., S. 354.</w:t>
      </w:r>
    </w:p>
  </w:footnote>
  <w:footnote w:id="34">
    <w:p w14:paraId="14F6F6B6" w14:textId="77777777" w:rsidR="00E17C7D" w:rsidRPr="006026DC" w:rsidRDefault="00E17C7D" w:rsidP="00E17C7D">
      <w:pPr>
        <w:pStyle w:val="Funotentext"/>
        <w:rPr>
          <w:rFonts w:eastAsia="Times New Roman"/>
          <w:lang w:val="de-AT" w:eastAsia="de-AT"/>
        </w:rPr>
      </w:pPr>
      <w:r w:rsidRPr="006026DC">
        <w:rPr>
          <w:rStyle w:val="Funotenzeichen"/>
        </w:rPr>
        <w:footnoteRef/>
      </w:r>
      <w:r w:rsidRPr="00392D51">
        <w:rPr>
          <w:lang w:val="en-US"/>
        </w:rPr>
        <w:t xml:space="preserve"> </w:t>
      </w:r>
      <w:r w:rsidRPr="006026DC">
        <w:rPr>
          <w:rFonts w:eastAsia="Times New Roman"/>
          <w:lang w:val="de-AT" w:eastAsia="de-AT"/>
        </w:rPr>
        <w:t xml:space="preserve">Staatsgesetzblatt für den Staat Deutschösterreich Nr. 1: </w:t>
      </w:r>
      <w:r w:rsidRPr="006026DC">
        <w:rPr>
          <w:lang w:val="de-AT"/>
        </w:rPr>
        <w:t>Gesetz über die Staats- und Regierungsform von Deutsch-Österreich vom 12. 11. 1918.</w:t>
      </w:r>
    </w:p>
  </w:footnote>
  <w:footnote w:id="35">
    <w:p w14:paraId="616367DA" w14:textId="0CBF39DD" w:rsidR="00E17C7D" w:rsidRPr="006026DC" w:rsidRDefault="00E17C7D" w:rsidP="00E17C7D">
      <w:pPr>
        <w:pStyle w:val="Funotentext"/>
        <w:rPr>
          <w:lang w:val="de-AT"/>
        </w:rPr>
      </w:pPr>
      <w:r w:rsidRPr="006026DC">
        <w:rPr>
          <w:rStyle w:val="Funotenzeichen"/>
        </w:rPr>
        <w:footnoteRef/>
      </w:r>
      <w:r w:rsidRPr="006026DC">
        <w:rPr>
          <w:lang w:val="de-AT"/>
        </w:rPr>
        <w:t xml:space="preserve"> Beispiele dafür findet man in Günther R. Burkert, „‚Eine Welt ist untergegangen‘. Markante Jahre der österreichischen Geschichte in Briefen, Tagebüchern, Erinnerung und schriftstellerischen Versuchen österreichischer Beamter des 20. Jahrhunderts“</w:t>
      </w:r>
      <w:r w:rsidR="00443983">
        <w:rPr>
          <w:lang w:val="de-AT"/>
        </w:rPr>
        <w:t>,</w:t>
      </w:r>
      <w:r w:rsidRPr="006026DC">
        <w:rPr>
          <w:lang w:val="de-AT"/>
        </w:rPr>
        <w:t xml:space="preserve"> </w:t>
      </w:r>
      <w:r w:rsidRPr="006026DC">
        <w:rPr>
          <w:i/>
          <w:lang w:val="de-AT"/>
        </w:rPr>
        <w:t xml:space="preserve">Geschichte und Gegenwart: Vierteljahreshefte für Zeitgeschichte </w:t>
      </w:r>
      <w:r w:rsidRPr="006026DC">
        <w:rPr>
          <w:lang w:val="de-AT"/>
        </w:rPr>
        <w:t>3/1990, S. 197-224.</w:t>
      </w:r>
    </w:p>
  </w:footnote>
  <w:footnote w:id="36">
    <w:p w14:paraId="3D93F7D4" w14:textId="77777777" w:rsidR="00E17C7D" w:rsidRPr="00392D51" w:rsidRDefault="00E17C7D" w:rsidP="00E17C7D">
      <w:pPr>
        <w:pStyle w:val="Funotentext"/>
        <w:rPr>
          <w:lang w:val="de-AT"/>
        </w:rPr>
      </w:pPr>
      <w:r w:rsidRPr="006026DC">
        <w:rPr>
          <w:rStyle w:val="Funotenzeichen"/>
        </w:rPr>
        <w:footnoteRef/>
      </w:r>
      <w:r w:rsidRPr="00392D51">
        <w:rPr>
          <w:lang w:val="de-AT"/>
        </w:rPr>
        <w:t xml:space="preserve"> </w:t>
      </w:r>
      <w:r w:rsidRPr="006026DC">
        <w:rPr>
          <w:lang w:val="de-AT"/>
        </w:rPr>
        <w:t xml:space="preserve">Herta Hafner, </w:t>
      </w:r>
      <w:r w:rsidRPr="006026DC">
        <w:rPr>
          <w:i/>
          <w:lang w:val="de-AT"/>
        </w:rPr>
        <w:t>Der sozio-ökonomische Wandel der österreichischen Staatsangestellten 1914 – 1924</w:t>
      </w:r>
      <w:r w:rsidRPr="006026DC">
        <w:rPr>
          <w:lang w:val="de-AT"/>
        </w:rPr>
        <w:t>, unveröffentlichte Dissertation, Universität Wien, Wien, 1991, S. 218.</w:t>
      </w:r>
    </w:p>
  </w:footnote>
  <w:footnote w:id="37">
    <w:p w14:paraId="70974D7D" w14:textId="7A8DC6AB" w:rsidR="00E17C7D" w:rsidRPr="00392D51" w:rsidRDefault="00E17C7D" w:rsidP="00E17C7D">
      <w:pPr>
        <w:pStyle w:val="Funotentext"/>
        <w:rPr>
          <w:lang w:val="de-AT"/>
        </w:rPr>
      </w:pPr>
      <w:r w:rsidRPr="006026DC">
        <w:rPr>
          <w:rStyle w:val="Funotenzeichen"/>
        </w:rPr>
        <w:footnoteRef/>
      </w:r>
      <w:r w:rsidRPr="00392D51">
        <w:rPr>
          <w:lang w:val="de-AT"/>
        </w:rPr>
        <w:t xml:space="preserve"> Beschlüsse des Kabinettsrates vom 23. November 1918 </w:t>
      </w:r>
      <w:r w:rsidR="00AC68C8" w:rsidRPr="00392D51">
        <w:rPr>
          <w:lang w:val="de-AT"/>
        </w:rPr>
        <w:t xml:space="preserve">in Staatsbedienstetenfragen, </w:t>
      </w:r>
      <w:r w:rsidRPr="006026DC">
        <w:rPr>
          <w:i/>
          <w:lang w:val="de-AT"/>
        </w:rPr>
        <w:t>Verhandlungsschriften Nr. 1 bis 25 zu den Sitzungen des zwischenstaatsamtlichen Komitees für Staatsbedienstetenangelegenheiten</w:t>
      </w:r>
      <w:r w:rsidRPr="006026DC">
        <w:rPr>
          <w:lang w:val="de-AT"/>
        </w:rPr>
        <w:t>, Wien, Österreichische Staatsdruckerei, 1919, S. III-V.</w:t>
      </w:r>
    </w:p>
  </w:footnote>
  <w:footnote w:id="38">
    <w:p w14:paraId="7784AD91"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Herta Hafner, </w:t>
      </w:r>
      <w:r w:rsidRPr="006026DC">
        <w:rPr>
          <w:i/>
          <w:lang w:val="de-AT"/>
        </w:rPr>
        <w:t>Der sozio-ökonomische Wandel der österreichischen Staatsangestellten 1914 – 1924</w:t>
      </w:r>
      <w:r w:rsidRPr="006026DC">
        <w:rPr>
          <w:lang w:val="de-AT"/>
        </w:rPr>
        <w:t>, op. cit., S. 219.</w:t>
      </w:r>
    </w:p>
  </w:footnote>
  <w:footnote w:id="39">
    <w:p w14:paraId="380388F0" w14:textId="620EC320" w:rsidR="00E17C7D" w:rsidRPr="006026DC" w:rsidRDefault="00E17C7D" w:rsidP="00E17C7D">
      <w:pPr>
        <w:pStyle w:val="Funotentext"/>
        <w:rPr>
          <w:lang w:val="de-AT"/>
        </w:rPr>
      </w:pPr>
      <w:r w:rsidRPr="006026DC">
        <w:rPr>
          <w:rStyle w:val="Funotenzeichen"/>
        </w:rPr>
        <w:footnoteRef/>
      </w:r>
      <w:r w:rsidRPr="006026DC">
        <w:rPr>
          <w:lang w:val="de-AT"/>
        </w:rPr>
        <w:t xml:space="preserve"> „Verfügungen zur Durchführung der Beschlüsse des Kabinettsrates, betreffend Richtlinien für die vorläufige Behandlung einiger Staatsbedienstetenf</w:t>
      </w:r>
      <w:r w:rsidR="00443983">
        <w:rPr>
          <w:lang w:val="de-AT"/>
        </w:rPr>
        <w:t xml:space="preserve">ragen vom 28. November 1918“, </w:t>
      </w:r>
      <w:r w:rsidRPr="006026DC">
        <w:rPr>
          <w:i/>
          <w:lang w:val="de-AT"/>
        </w:rPr>
        <w:t>Verhandlungsschriften Nr. 1 bis 25 zu den Sitzungen des zwischenstaatsamtlichen Komitees für Staatsbedienstetenangelegenheiten</w:t>
      </w:r>
      <w:r w:rsidRPr="006026DC">
        <w:rPr>
          <w:lang w:val="de-AT"/>
        </w:rPr>
        <w:t>, Wien, Österreichische Staatsdruckerei, 1919, S. VII.</w:t>
      </w:r>
    </w:p>
  </w:footnote>
  <w:footnote w:id="40">
    <w:p w14:paraId="7AA9435D"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Herta Hafner, </w:t>
      </w:r>
      <w:r w:rsidRPr="006026DC">
        <w:rPr>
          <w:i/>
          <w:lang w:val="de-AT"/>
        </w:rPr>
        <w:t>Der sozio-ökonomische Wandel der österreichischen Staatsangestellten 1914 – 1924</w:t>
      </w:r>
      <w:r w:rsidRPr="006026DC">
        <w:rPr>
          <w:lang w:val="de-AT"/>
        </w:rPr>
        <w:t>, op. cit., S. 233-237.</w:t>
      </w:r>
    </w:p>
  </w:footnote>
  <w:footnote w:id="41">
    <w:p w14:paraId="4A8A415E"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Karl Megner, </w:t>
      </w:r>
      <w:r w:rsidRPr="006026DC">
        <w:rPr>
          <w:i/>
          <w:lang w:val="de-AT"/>
        </w:rPr>
        <w:t>Der österreichische Staatsbeamte im Übergang von der Monarchie zur Republik</w:t>
      </w:r>
      <w:r w:rsidRPr="006026DC">
        <w:rPr>
          <w:lang w:val="de-AT"/>
        </w:rPr>
        <w:t xml:space="preserve"> (Tagung: Beiträge zur Verwaltungsgeschichte der Ersten Republik, Wien am 22. u. 23. Okt. 1985), unveröffentlichtes Manuskript, Wien, 1985, S. 4.</w:t>
      </w:r>
    </w:p>
  </w:footnote>
  <w:footnote w:id="42">
    <w:p w14:paraId="34FA9348" w14:textId="77777777" w:rsidR="00E17C7D" w:rsidRPr="006026DC" w:rsidRDefault="00E17C7D" w:rsidP="00E17C7D">
      <w:pPr>
        <w:pStyle w:val="Funotentext"/>
        <w:rPr>
          <w:lang w:val="de-AT"/>
        </w:rPr>
      </w:pPr>
      <w:r w:rsidRPr="006026DC">
        <w:rPr>
          <w:rStyle w:val="Funotenzeichen"/>
        </w:rPr>
        <w:footnoteRef/>
      </w:r>
      <w:r w:rsidRPr="006026DC">
        <w:rPr>
          <w:lang w:val="de-AT"/>
        </w:rPr>
        <w:t xml:space="preserve"> Informationen zu den Organisationen aus Österreichisches Staatarchiv, Archiv der Republik, Staatskanzlei, Materien-Sonderlegung, Karton 242: Schutzstelle.</w:t>
      </w:r>
    </w:p>
  </w:footnote>
  <w:footnote w:id="43">
    <w:p w14:paraId="687A4E99" w14:textId="77777777" w:rsidR="00436FE6" w:rsidRPr="00216B42" w:rsidRDefault="00436FE6" w:rsidP="00436FE6">
      <w:pPr>
        <w:pStyle w:val="Funotentext"/>
        <w:rPr>
          <w:lang w:val="de-AT"/>
        </w:rPr>
      </w:pPr>
      <w:r w:rsidRPr="006026DC">
        <w:rPr>
          <w:rStyle w:val="Funotenzeichen"/>
        </w:rPr>
        <w:footnoteRef/>
      </w:r>
      <w:r w:rsidRPr="006026DC">
        <w:rPr>
          <w:lang w:val="de-AT"/>
        </w:rPr>
        <w:t xml:space="preserve"> „</w:t>
      </w:r>
      <w:r w:rsidRPr="00392D51">
        <w:rPr>
          <w:lang w:val="de-AT"/>
        </w:rPr>
        <w:t>Die Republik umfaßt: Die Länder Österreich unter der Enns einschließlich des Kreises Deutsch-Südmähren und des deutschen Gebietes um Neubistritz, Österreich ob der Enns einschließlich des Kreises Deutsch-Südböhmen, Salzburg, Steuermark und Kärnten mit Ausschluß der geschlossenen jugoslawischen Siedlungsgebiete, die Grafschaft Tirol mit Ausschluß des geschlossenen italienischen Siedlungsgebietes, Vorarlberg, Deutschböhmen und Sudetenland, sowie die deutschen Siedlungsgebiete von Brünn, Iglau und Olmütz.”</w:t>
      </w:r>
      <w:r w:rsidRPr="006026DC">
        <w:rPr>
          <w:lang w:val="de-AT"/>
        </w:rPr>
        <w:t xml:space="preserve"> Staatsgesetzblatt der Republik Deutschösterreich </w:t>
      </w:r>
      <w:r w:rsidRPr="00216B42">
        <w:rPr>
          <w:lang w:val="de-AT"/>
        </w:rPr>
        <w:t xml:space="preserve">Nr. 40: </w:t>
      </w:r>
      <w:r w:rsidRPr="006026DC">
        <w:rPr>
          <w:lang w:val="de-AT"/>
        </w:rPr>
        <w:t xml:space="preserve">Gesetz vom 22. November 1918 </w:t>
      </w:r>
      <w:r w:rsidRPr="006026DC">
        <w:rPr>
          <w:rStyle w:val="st"/>
          <w:lang w:val="de-AT"/>
        </w:rPr>
        <w:t>über Umfang, Grenzen und Beziehungen des Staatsgebietes von Deutschösterreich, § 1</w:t>
      </w:r>
      <w:r w:rsidRPr="00216B42">
        <w:rPr>
          <w:lang w:val="de-AT"/>
        </w:rPr>
        <w:t>.</w:t>
      </w:r>
    </w:p>
  </w:footnote>
  <w:footnote w:id="44">
    <w:p w14:paraId="37262A03" w14:textId="77777777" w:rsidR="00436FE6" w:rsidRPr="00392D51" w:rsidRDefault="00436FE6" w:rsidP="00436FE6">
      <w:pPr>
        <w:pStyle w:val="Funotentext"/>
        <w:rPr>
          <w:lang w:val="en-US"/>
        </w:rPr>
      </w:pPr>
      <w:r w:rsidRPr="006026DC">
        <w:rPr>
          <w:rStyle w:val="Funotenzeichen"/>
        </w:rPr>
        <w:footnoteRef/>
      </w:r>
      <w:r w:rsidRPr="00392D51">
        <w:rPr>
          <w:lang w:val="en-US"/>
        </w:rPr>
        <w:t xml:space="preserve"> Mario R. DiNunzio (Hg.), </w:t>
      </w:r>
      <w:r w:rsidRPr="00392D51">
        <w:rPr>
          <w:i/>
          <w:lang w:val="en-US"/>
        </w:rPr>
        <w:t>Woodrow Wilson, Essential writings and speeches of the scholar-president</w:t>
      </w:r>
      <w:r w:rsidRPr="00392D51">
        <w:rPr>
          <w:lang w:val="en-US"/>
        </w:rPr>
        <w:t>, New York, New York University, 2006, S.405.</w:t>
      </w:r>
    </w:p>
  </w:footnote>
  <w:footnote w:id="45">
    <w:p w14:paraId="55ABF154" w14:textId="2D977E0D" w:rsidR="00BF14B3" w:rsidRPr="00392D51" w:rsidRDefault="00BF14B3" w:rsidP="00BF14B3">
      <w:pPr>
        <w:pStyle w:val="Funotentext"/>
        <w:rPr>
          <w:lang w:val="en-US"/>
        </w:rPr>
      </w:pPr>
      <w:r w:rsidRPr="006026DC">
        <w:rPr>
          <w:rStyle w:val="Funotenzeichen"/>
        </w:rPr>
        <w:footnoteRef/>
      </w:r>
      <w:r w:rsidRPr="00392D51">
        <w:rPr>
          <w:lang w:val="en-US"/>
        </w:rPr>
        <w:t xml:space="preserve"> </w:t>
      </w:r>
      <w:r w:rsidRPr="006026DC">
        <w:rPr>
          <w:lang w:val="de-AT"/>
        </w:rPr>
        <w:t>„Beilage A zur Verhan</w:t>
      </w:r>
      <w:r>
        <w:rPr>
          <w:lang w:val="de-AT"/>
        </w:rPr>
        <w:t>dlungsschrift Nr. 12“, Punkt 3,</w:t>
      </w:r>
      <w:r w:rsidRPr="006026DC">
        <w:rPr>
          <w:lang w:val="de-AT"/>
        </w:rPr>
        <w:t xml:space="preserve"> </w:t>
      </w:r>
      <w:r w:rsidRPr="006026DC">
        <w:rPr>
          <w:i/>
          <w:lang w:val="de-AT"/>
        </w:rPr>
        <w:t>Verhandlungsschriften Nr. 1 bis 25 zu den Sitzungen des zwischenstaatsamtlichen Komitees für Staatsbedienstetenangelegenheiten</w:t>
      </w:r>
      <w:r w:rsidRPr="006026DC">
        <w:rPr>
          <w:lang w:val="de-AT"/>
        </w:rPr>
        <w:t>, op. cit., S. 31.</w:t>
      </w:r>
    </w:p>
  </w:footnote>
  <w:footnote w:id="46">
    <w:p w14:paraId="2B00D0C7" w14:textId="3CE072EB" w:rsidR="00436FE6" w:rsidRPr="006026DC" w:rsidRDefault="00436FE6" w:rsidP="00436FE6">
      <w:pPr>
        <w:pStyle w:val="Funotentext"/>
        <w:rPr>
          <w:lang w:val="de-AT"/>
        </w:rPr>
      </w:pPr>
      <w:r w:rsidRPr="006026DC">
        <w:rPr>
          <w:rStyle w:val="Funotenzeichen"/>
        </w:rPr>
        <w:footnoteRef/>
      </w:r>
      <w:r w:rsidRPr="006026DC">
        <w:rPr>
          <w:lang w:val="de-AT"/>
        </w:rPr>
        <w:t xml:space="preserve"> Im Februar 1919 wurde von der tschechoslowakischen Nationalratsversammlung ein Gesetz beschlossen, das allen Beamten, auch jenen, die von einem anderen Staat angestellt wurden, vorschrieb binnen eines Monats ein Treuegelöbnis auf den tschechoslowakischen Staat zu leisten, andernfalls drohe der Verlust des Amtes. Das deutschösterreichische Staatsamt des Äußeren wurde angewiesen, dagegen Beschwerde bei der Entente und bei der tschechoslowakischen Regierung zu erheben, </w:t>
      </w:r>
      <w:r w:rsidR="00BF14B3">
        <w:rPr>
          <w:lang w:val="de-AT"/>
        </w:rPr>
        <w:t>„Verhandlungsschrift Nr. 28</w:t>
      </w:r>
      <w:r w:rsidR="00BF14B3" w:rsidRPr="006026DC">
        <w:rPr>
          <w:lang w:val="de-AT"/>
        </w:rPr>
        <w:t xml:space="preserve"> zur Sitzun</w:t>
      </w:r>
      <w:r w:rsidR="00BF14B3">
        <w:rPr>
          <w:lang w:val="de-AT"/>
        </w:rPr>
        <w:t>g vom 4. März 1919“, Punkt 1,</w:t>
      </w:r>
      <w:r w:rsidR="00BF14B3" w:rsidRPr="006026DC">
        <w:rPr>
          <w:lang w:val="de-AT"/>
        </w:rPr>
        <w:t xml:space="preserve"> </w:t>
      </w:r>
      <w:r w:rsidR="00BF14B3" w:rsidRPr="006026DC">
        <w:rPr>
          <w:i/>
          <w:lang w:val="de-AT"/>
        </w:rPr>
        <w:t>Verhandlungsschriften Nr. 26 bis 50 zu den Sitzungen des zwischenstaatsamtlichen Komitees für Staatsbedienstetenangelegenheiten</w:t>
      </w:r>
      <w:r w:rsidR="00BF14B3">
        <w:rPr>
          <w:lang w:val="de-AT"/>
        </w:rPr>
        <w:t>, op. cit., S. 7f</w:t>
      </w:r>
      <w:r w:rsidR="00BF14B3" w:rsidRPr="006026DC">
        <w:rPr>
          <w:lang w:val="de-AT"/>
        </w:rPr>
        <w:t>.</w:t>
      </w:r>
    </w:p>
  </w:footnote>
  <w:footnote w:id="47">
    <w:p w14:paraId="59561DDC" w14:textId="77777777" w:rsidR="00436FE6" w:rsidRPr="006026DC" w:rsidRDefault="00436FE6" w:rsidP="00436FE6">
      <w:pPr>
        <w:pStyle w:val="Funotentext"/>
        <w:rPr>
          <w:lang w:val="de-AT"/>
        </w:rPr>
      </w:pPr>
      <w:r w:rsidRPr="006026DC">
        <w:rPr>
          <w:rStyle w:val="Funotenzeichen"/>
        </w:rPr>
        <w:footnoteRef/>
      </w:r>
      <w:r w:rsidRPr="006026DC">
        <w:rPr>
          <w:lang w:val="de-AT"/>
        </w:rPr>
        <w:t xml:space="preserve"> Kabinettsprotokoll der Staatskanzlei Nr. 19 , 30. November 1918, Österreichisches Staatsarchiv, Archiv der Republik, Staatskanzlei, Materien-Sonderlegung, Schutzstelle, Karton 242.</w:t>
      </w:r>
    </w:p>
  </w:footnote>
  <w:footnote w:id="48">
    <w:p w14:paraId="57C46A45" w14:textId="67DC2BD7" w:rsidR="00436FE6" w:rsidRPr="006026DC" w:rsidRDefault="00436FE6" w:rsidP="00436FE6">
      <w:pPr>
        <w:pStyle w:val="Funotentext"/>
        <w:rPr>
          <w:lang w:val="de-AT"/>
        </w:rPr>
      </w:pPr>
      <w:r w:rsidRPr="006026DC">
        <w:rPr>
          <w:rStyle w:val="Funotenzeichen"/>
        </w:rPr>
        <w:footnoteRef/>
      </w:r>
      <w:r w:rsidRPr="006026DC">
        <w:rPr>
          <w:lang w:val="de-AT"/>
        </w:rPr>
        <w:t xml:space="preserve"> „Verhandlungsschrift Nr. 35 zur Sitzun</w:t>
      </w:r>
      <w:r w:rsidR="00BF14B3">
        <w:rPr>
          <w:lang w:val="de-AT"/>
        </w:rPr>
        <w:t>g vom 1. April 1919“, Punkt 4,</w:t>
      </w:r>
      <w:r w:rsidRPr="006026DC">
        <w:rPr>
          <w:lang w:val="de-AT"/>
        </w:rPr>
        <w:t xml:space="preserve"> </w:t>
      </w:r>
      <w:r w:rsidRPr="006026DC">
        <w:rPr>
          <w:i/>
          <w:lang w:val="de-AT"/>
        </w:rPr>
        <w:t>Verhandlungsschriften Nr. 26 bis 50 zu den Sitzungen des zwischenstaatsamtlichen Komitees für Staatsbedienstetenangelegenheiten</w:t>
      </w:r>
      <w:r w:rsidRPr="006026DC">
        <w:rPr>
          <w:lang w:val="de-AT"/>
        </w:rPr>
        <w:t>, op. cit., S. 36.</w:t>
      </w:r>
    </w:p>
  </w:footnote>
  <w:footnote w:id="49">
    <w:p w14:paraId="252DC1BE" w14:textId="1A11C1FD" w:rsidR="00436FE6" w:rsidRPr="00216B42" w:rsidRDefault="00436FE6" w:rsidP="00436FE6">
      <w:pPr>
        <w:pStyle w:val="Funotentext"/>
        <w:rPr>
          <w:lang w:val="en-US"/>
        </w:rPr>
      </w:pPr>
      <w:r w:rsidRPr="006026DC">
        <w:rPr>
          <w:rStyle w:val="Funotenzeichen"/>
        </w:rPr>
        <w:footnoteRef/>
      </w:r>
      <w:r w:rsidRPr="00392D51">
        <w:rPr>
          <w:lang w:val="en-US"/>
        </w:rPr>
        <w:t xml:space="preserve"> </w:t>
      </w:r>
      <w:r w:rsidRPr="006026DC">
        <w:rPr>
          <w:lang w:val="de-AT"/>
        </w:rPr>
        <w:t>„</w:t>
      </w:r>
      <w:r w:rsidRPr="00392D51">
        <w:rPr>
          <w:lang w:val="en-US"/>
        </w:rPr>
        <w:t xml:space="preserve">Verhandlungsschrift Nr. 3 </w:t>
      </w:r>
      <w:r w:rsidRPr="006026DC">
        <w:rPr>
          <w:lang w:val="de-AT"/>
        </w:rPr>
        <w:t>zur Sitzung</w:t>
      </w:r>
      <w:r w:rsidRPr="00392D51">
        <w:rPr>
          <w:lang w:val="en-US"/>
        </w:rPr>
        <w:t xml:space="preserve"> vo</w:t>
      </w:r>
      <w:r w:rsidR="00BF14B3" w:rsidRPr="00392D51">
        <w:rPr>
          <w:lang w:val="en-US"/>
        </w:rPr>
        <w:t xml:space="preserve">m 14. </w:t>
      </w:r>
      <w:r w:rsidR="00BF14B3" w:rsidRPr="00216B42">
        <w:rPr>
          <w:lang w:val="en-US"/>
        </w:rPr>
        <w:t>Dezember 1918”, Punkt 6,</w:t>
      </w:r>
      <w:r w:rsidRPr="00216B42">
        <w:rPr>
          <w:lang w:val="en-US"/>
        </w:rPr>
        <w:t xml:space="preserve"> </w:t>
      </w:r>
      <w:r w:rsidRPr="006026DC">
        <w:rPr>
          <w:i/>
          <w:lang w:val="de-AT"/>
        </w:rPr>
        <w:t>Verhandlungsschriften Nr. 1 bis 25 zu den Sitzungen des zwischenstaatsamtlichen Komitees für Staatsbedienstetenangelegenheiten</w:t>
      </w:r>
      <w:r w:rsidRPr="006026DC">
        <w:rPr>
          <w:lang w:val="de-AT"/>
        </w:rPr>
        <w:t>, op. cit., S. 9.f.</w:t>
      </w:r>
    </w:p>
  </w:footnote>
  <w:footnote w:id="50">
    <w:p w14:paraId="676E6658" w14:textId="6CEF3F0F" w:rsidR="00436FE6" w:rsidRPr="00216B42" w:rsidRDefault="00436FE6" w:rsidP="00436FE6">
      <w:pPr>
        <w:pStyle w:val="Funotentext"/>
        <w:rPr>
          <w:lang w:val="en-US"/>
        </w:rPr>
      </w:pPr>
      <w:r w:rsidRPr="006026DC">
        <w:rPr>
          <w:rStyle w:val="Funotenzeichen"/>
        </w:rPr>
        <w:footnoteRef/>
      </w:r>
      <w:r w:rsidRPr="00392D51">
        <w:rPr>
          <w:lang w:val="en-US"/>
        </w:rPr>
        <w:t xml:space="preserve"> </w:t>
      </w:r>
      <w:r w:rsidRPr="006026DC">
        <w:rPr>
          <w:lang w:val="de-AT"/>
        </w:rPr>
        <w:t>„</w:t>
      </w:r>
      <w:r w:rsidRPr="00392D51">
        <w:rPr>
          <w:lang w:val="en-US"/>
        </w:rPr>
        <w:t xml:space="preserve">Verhandlungsschrift Nr. 9 </w:t>
      </w:r>
      <w:r w:rsidRPr="006026DC">
        <w:rPr>
          <w:lang w:val="de-AT"/>
        </w:rPr>
        <w:t>zur Sitzung</w:t>
      </w:r>
      <w:r w:rsidR="00BF14B3" w:rsidRPr="00392D51">
        <w:rPr>
          <w:lang w:val="en-US"/>
        </w:rPr>
        <w:t xml:space="preserve"> vom 3. </w:t>
      </w:r>
      <w:r w:rsidR="00BF14B3" w:rsidRPr="00216B42">
        <w:rPr>
          <w:lang w:val="en-US"/>
        </w:rPr>
        <w:t>Jänner 1919”, Punkt 1,</w:t>
      </w:r>
      <w:r w:rsidRPr="00216B42">
        <w:rPr>
          <w:lang w:val="en-US"/>
        </w:rPr>
        <w:t xml:space="preserve"> </w:t>
      </w:r>
      <w:r w:rsidRPr="006026DC">
        <w:rPr>
          <w:i/>
          <w:lang w:val="de-AT"/>
        </w:rPr>
        <w:t>Verhandlungsschriften Nr. 1 bis 25 zu den Sitzungen des zwischenstaatsamtlichen Komitees für Staatsbedienstetenangelegenheiten</w:t>
      </w:r>
      <w:r w:rsidRPr="006026DC">
        <w:rPr>
          <w:lang w:val="de-AT"/>
        </w:rPr>
        <w:t>, op. cit., S. 14f.</w:t>
      </w:r>
    </w:p>
  </w:footnote>
  <w:footnote w:id="51">
    <w:p w14:paraId="11593362" w14:textId="587A2B0F" w:rsidR="00436FE6" w:rsidRPr="00216B42" w:rsidRDefault="00436FE6" w:rsidP="00436FE6">
      <w:pPr>
        <w:pStyle w:val="Funotentext"/>
        <w:rPr>
          <w:lang w:val="en-US"/>
        </w:rPr>
      </w:pPr>
      <w:r w:rsidRPr="006026DC">
        <w:rPr>
          <w:rStyle w:val="Funotenzeichen"/>
        </w:rPr>
        <w:footnoteRef/>
      </w:r>
      <w:r w:rsidRPr="00392D51">
        <w:rPr>
          <w:lang w:val="en-US"/>
        </w:rPr>
        <w:t xml:space="preserve"> </w:t>
      </w:r>
      <w:r w:rsidRPr="006026DC">
        <w:rPr>
          <w:lang w:val="de-AT"/>
        </w:rPr>
        <w:t>„</w:t>
      </w:r>
      <w:r w:rsidRPr="00392D51">
        <w:rPr>
          <w:lang w:val="en-US"/>
        </w:rPr>
        <w:t xml:space="preserve">Verhandlungsschrift Nr. 9 </w:t>
      </w:r>
      <w:r w:rsidRPr="006026DC">
        <w:rPr>
          <w:lang w:val="de-AT"/>
        </w:rPr>
        <w:t>zur Sitzung</w:t>
      </w:r>
      <w:r w:rsidR="00BF14B3" w:rsidRPr="00392D51">
        <w:rPr>
          <w:lang w:val="en-US"/>
        </w:rPr>
        <w:t xml:space="preserve"> vom 3. </w:t>
      </w:r>
      <w:r w:rsidR="00BF14B3" w:rsidRPr="00216B42">
        <w:rPr>
          <w:lang w:val="en-US"/>
        </w:rPr>
        <w:t>Jänner 1919”, Punkt 2,</w:t>
      </w:r>
      <w:r w:rsidRPr="00216B42">
        <w:rPr>
          <w:lang w:val="en-US"/>
        </w:rPr>
        <w:t xml:space="preserve"> </w:t>
      </w:r>
      <w:r w:rsidRPr="006026DC">
        <w:rPr>
          <w:i/>
          <w:lang w:val="de-AT"/>
        </w:rPr>
        <w:t>Verhandlungsschriften Nr. 1 bis 25 zu den Sitzungen des zwischenstaatsamtlichen Komitees für Staatsbedienstetenangelegenheiten</w:t>
      </w:r>
      <w:r w:rsidRPr="006026DC">
        <w:rPr>
          <w:lang w:val="de-AT"/>
        </w:rPr>
        <w:t>, op. cit., S. 15.</w:t>
      </w:r>
      <w:bookmarkStart w:id="1" w:name="_GoBack"/>
    </w:p>
    <w:bookmarkEnd w:id="1"/>
  </w:footnote>
  <w:footnote w:id="52">
    <w:p w14:paraId="26150248" w14:textId="6D3991F0" w:rsidR="00436FE6" w:rsidRPr="00551288" w:rsidRDefault="00436FE6" w:rsidP="00436FE6">
      <w:pPr>
        <w:pStyle w:val="Funotentext"/>
        <w:rPr>
          <w:lang w:val="de-AT"/>
        </w:rPr>
      </w:pPr>
      <w:r w:rsidRPr="00551288">
        <w:rPr>
          <w:rStyle w:val="Funotenzeichen"/>
        </w:rPr>
        <w:footnoteRef/>
      </w:r>
      <w:r w:rsidRPr="00392D51">
        <w:rPr>
          <w:lang w:val="en-US"/>
        </w:rPr>
        <w:t xml:space="preserve"> “Verhandlungsschrift Nr. 32 zur Sitzung vom 18. März 1919”, Punkt 1</w:t>
      </w:r>
      <w:r w:rsidR="00BF14B3">
        <w:rPr>
          <w:lang w:val="de-AT"/>
        </w:rPr>
        <w:t>,</w:t>
      </w:r>
      <w:r w:rsidRPr="006026DC">
        <w:rPr>
          <w:lang w:val="de-AT"/>
        </w:rPr>
        <w:t xml:space="preserve"> </w:t>
      </w:r>
      <w:r w:rsidRPr="006026DC">
        <w:rPr>
          <w:i/>
          <w:lang w:val="de-AT"/>
        </w:rPr>
        <w:t>Verhandlungsschriften Nr. 26 bis 50 zu den Sitzungen des zwischenstaatsamtlichen Komitees für Staatsbedienstetenangelegenheiten</w:t>
      </w:r>
      <w:r w:rsidRPr="006026DC">
        <w:rPr>
          <w:lang w:val="de-AT"/>
        </w:rPr>
        <w:t>, op. cit., S.</w:t>
      </w:r>
      <w:r>
        <w:rPr>
          <w:lang w:val="de-AT"/>
        </w:rPr>
        <w:t xml:space="preserve"> 21f.</w:t>
      </w:r>
    </w:p>
  </w:footnote>
  <w:footnote w:id="53">
    <w:p w14:paraId="62993FB4" w14:textId="77777777" w:rsidR="00436FE6" w:rsidRPr="006026DC" w:rsidRDefault="00436FE6" w:rsidP="00436FE6">
      <w:pPr>
        <w:pStyle w:val="Funotentext"/>
        <w:rPr>
          <w:lang w:val="de-AT"/>
        </w:rPr>
      </w:pPr>
      <w:r w:rsidRPr="00551288">
        <w:rPr>
          <w:rStyle w:val="Funotenzeichen"/>
        </w:rPr>
        <w:footnoteRef/>
      </w:r>
      <w:r w:rsidRPr="00551288">
        <w:rPr>
          <w:lang w:val="de-AT"/>
        </w:rPr>
        <w:t xml:space="preserve"> Österreichisches Staatsarchiv, Archiv der Republik, Staatskanzlei, Materien-Sonderlegung: Schutzstelle, Karton 242, Endbericht.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A75D" w14:textId="77777777" w:rsidR="007D6DA1" w:rsidRDefault="007D6D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41D5" w14:textId="77777777" w:rsidR="007D6DA1" w:rsidRDefault="007D6DA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14F32" w14:textId="77777777" w:rsidR="007D6DA1" w:rsidRDefault="007D6D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603F"/>
    <w:multiLevelType w:val="hybridMultilevel"/>
    <w:tmpl w:val="85F23066"/>
    <w:lvl w:ilvl="0" w:tplc="24F0A450">
      <w:start w:val="1"/>
      <w:numFmt w:val="decimal"/>
      <w:lvlText w:val="%1."/>
      <w:lvlJc w:val="left"/>
      <w:pPr>
        <w:tabs>
          <w:tab w:val="num" w:pos="860"/>
        </w:tabs>
        <w:ind w:left="860" w:hanging="360"/>
      </w:pPr>
      <w:rPr>
        <w:rFonts w:hint="default"/>
      </w:rPr>
    </w:lvl>
    <w:lvl w:ilvl="1" w:tplc="040C0019" w:tentative="1">
      <w:start w:val="1"/>
      <w:numFmt w:val="lowerLetter"/>
      <w:lvlText w:val="%2."/>
      <w:lvlJc w:val="left"/>
      <w:pPr>
        <w:tabs>
          <w:tab w:val="num" w:pos="1580"/>
        </w:tabs>
        <w:ind w:left="1580" w:hanging="360"/>
      </w:pPr>
    </w:lvl>
    <w:lvl w:ilvl="2" w:tplc="040C001B" w:tentative="1">
      <w:start w:val="1"/>
      <w:numFmt w:val="lowerRoman"/>
      <w:lvlText w:val="%3."/>
      <w:lvlJc w:val="right"/>
      <w:pPr>
        <w:tabs>
          <w:tab w:val="num" w:pos="2300"/>
        </w:tabs>
        <w:ind w:left="2300" w:hanging="180"/>
      </w:pPr>
    </w:lvl>
    <w:lvl w:ilvl="3" w:tplc="040C000F" w:tentative="1">
      <w:start w:val="1"/>
      <w:numFmt w:val="decimal"/>
      <w:lvlText w:val="%4."/>
      <w:lvlJc w:val="left"/>
      <w:pPr>
        <w:tabs>
          <w:tab w:val="num" w:pos="3020"/>
        </w:tabs>
        <w:ind w:left="3020" w:hanging="360"/>
      </w:pPr>
    </w:lvl>
    <w:lvl w:ilvl="4" w:tplc="040C0019" w:tentative="1">
      <w:start w:val="1"/>
      <w:numFmt w:val="lowerLetter"/>
      <w:lvlText w:val="%5."/>
      <w:lvlJc w:val="left"/>
      <w:pPr>
        <w:tabs>
          <w:tab w:val="num" w:pos="3740"/>
        </w:tabs>
        <w:ind w:left="3740" w:hanging="360"/>
      </w:pPr>
    </w:lvl>
    <w:lvl w:ilvl="5" w:tplc="040C001B" w:tentative="1">
      <w:start w:val="1"/>
      <w:numFmt w:val="lowerRoman"/>
      <w:lvlText w:val="%6."/>
      <w:lvlJc w:val="right"/>
      <w:pPr>
        <w:tabs>
          <w:tab w:val="num" w:pos="4460"/>
        </w:tabs>
        <w:ind w:left="4460" w:hanging="180"/>
      </w:pPr>
    </w:lvl>
    <w:lvl w:ilvl="6" w:tplc="040C000F" w:tentative="1">
      <w:start w:val="1"/>
      <w:numFmt w:val="decimal"/>
      <w:lvlText w:val="%7."/>
      <w:lvlJc w:val="left"/>
      <w:pPr>
        <w:tabs>
          <w:tab w:val="num" w:pos="5180"/>
        </w:tabs>
        <w:ind w:left="5180" w:hanging="360"/>
      </w:pPr>
    </w:lvl>
    <w:lvl w:ilvl="7" w:tplc="040C0019" w:tentative="1">
      <w:start w:val="1"/>
      <w:numFmt w:val="lowerLetter"/>
      <w:lvlText w:val="%8."/>
      <w:lvlJc w:val="left"/>
      <w:pPr>
        <w:tabs>
          <w:tab w:val="num" w:pos="5900"/>
        </w:tabs>
        <w:ind w:left="5900" w:hanging="360"/>
      </w:pPr>
    </w:lvl>
    <w:lvl w:ilvl="8" w:tplc="040C001B" w:tentative="1">
      <w:start w:val="1"/>
      <w:numFmt w:val="lowerRoman"/>
      <w:lvlText w:val="%9."/>
      <w:lvlJc w:val="right"/>
      <w:pPr>
        <w:tabs>
          <w:tab w:val="num" w:pos="6620"/>
        </w:tabs>
        <w:ind w:left="6620" w:hanging="180"/>
      </w:pPr>
    </w:lvl>
  </w:abstractNum>
  <w:abstractNum w:abstractNumId="1" w15:restartNumberingAfterBreak="0">
    <w:nsid w:val="103C7B54"/>
    <w:multiLevelType w:val="hybridMultilevel"/>
    <w:tmpl w:val="AFD29556"/>
    <w:lvl w:ilvl="0" w:tplc="5C3494B4">
      <w:start w:val="3"/>
      <w:numFmt w:val="bullet"/>
      <w:lvlText w:val="-"/>
      <w:lvlJc w:val="left"/>
      <w:pPr>
        <w:tabs>
          <w:tab w:val="num" w:pos="860"/>
        </w:tabs>
        <w:ind w:left="860" w:hanging="360"/>
      </w:pPr>
      <w:rPr>
        <w:rFonts w:ascii="Times New Roman" w:eastAsia="Times New Roman" w:hAnsi="Times New Roman" w:hint="default"/>
      </w:rPr>
    </w:lvl>
    <w:lvl w:ilvl="1" w:tplc="040C0003" w:tentative="1">
      <w:start w:val="1"/>
      <w:numFmt w:val="bullet"/>
      <w:lvlText w:val="o"/>
      <w:lvlJc w:val="left"/>
      <w:pPr>
        <w:tabs>
          <w:tab w:val="num" w:pos="1580"/>
        </w:tabs>
        <w:ind w:left="1580" w:hanging="360"/>
      </w:pPr>
      <w:rPr>
        <w:rFonts w:ascii="Courier New" w:hAnsi="Courier New" w:hint="default"/>
      </w:rPr>
    </w:lvl>
    <w:lvl w:ilvl="2" w:tplc="040C0005" w:tentative="1">
      <w:start w:val="1"/>
      <w:numFmt w:val="bullet"/>
      <w:lvlText w:val=""/>
      <w:lvlJc w:val="left"/>
      <w:pPr>
        <w:tabs>
          <w:tab w:val="num" w:pos="2300"/>
        </w:tabs>
        <w:ind w:left="2300" w:hanging="360"/>
      </w:pPr>
      <w:rPr>
        <w:rFonts w:ascii="Wingdings" w:hAnsi="Wingdings" w:hint="default"/>
      </w:rPr>
    </w:lvl>
    <w:lvl w:ilvl="3" w:tplc="040C0001" w:tentative="1">
      <w:start w:val="1"/>
      <w:numFmt w:val="bullet"/>
      <w:lvlText w:val=""/>
      <w:lvlJc w:val="left"/>
      <w:pPr>
        <w:tabs>
          <w:tab w:val="num" w:pos="3020"/>
        </w:tabs>
        <w:ind w:left="3020" w:hanging="360"/>
      </w:pPr>
      <w:rPr>
        <w:rFonts w:ascii="Symbol" w:hAnsi="Symbol" w:hint="default"/>
      </w:rPr>
    </w:lvl>
    <w:lvl w:ilvl="4" w:tplc="040C0003" w:tentative="1">
      <w:start w:val="1"/>
      <w:numFmt w:val="bullet"/>
      <w:lvlText w:val="o"/>
      <w:lvlJc w:val="left"/>
      <w:pPr>
        <w:tabs>
          <w:tab w:val="num" w:pos="3740"/>
        </w:tabs>
        <w:ind w:left="3740" w:hanging="360"/>
      </w:pPr>
      <w:rPr>
        <w:rFonts w:ascii="Courier New" w:hAnsi="Courier New" w:hint="default"/>
      </w:rPr>
    </w:lvl>
    <w:lvl w:ilvl="5" w:tplc="040C0005" w:tentative="1">
      <w:start w:val="1"/>
      <w:numFmt w:val="bullet"/>
      <w:lvlText w:val=""/>
      <w:lvlJc w:val="left"/>
      <w:pPr>
        <w:tabs>
          <w:tab w:val="num" w:pos="4460"/>
        </w:tabs>
        <w:ind w:left="4460" w:hanging="360"/>
      </w:pPr>
      <w:rPr>
        <w:rFonts w:ascii="Wingdings" w:hAnsi="Wingdings" w:hint="default"/>
      </w:rPr>
    </w:lvl>
    <w:lvl w:ilvl="6" w:tplc="040C0001" w:tentative="1">
      <w:start w:val="1"/>
      <w:numFmt w:val="bullet"/>
      <w:lvlText w:val=""/>
      <w:lvlJc w:val="left"/>
      <w:pPr>
        <w:tabs>
          <w:tab w:val="num" w:pos="5180"/>
        </w:tabs>
        <w:ind w:left="5180" w:hanging="360"/>
      </w:pPr>
      <w:rPr>
        <w:rFonts w:ascii="Symbol" w:hAnsi="Symbol" w:hint="default"/>
      </w:rPr>
    </w:lvl>
    <w:lvl w:ilvl="7" w:tplc="040C0003" w:tentative="1">
      <w:start w:val="1"/>
      <w:numFmt w:val="bullet"/>
      <w:lvlText w:val="o"/>
      <w:lvlJc w:val="left"/>
      <w:pPr>
        <w:tabs>
          <w:tab w:val="num" w:pos="5900"/>
        </w:tabs>
        <w:ind w:left="5900" w:hanging="360"/>
      </w:pPr>
      <w:rPr>
        <w:rFonts w:ascii="Courier New" w:hAnsi="Courier New" w:hint="default"/>
      </w:rPr>
    </w:lvl>
    <w:lvl w:ilvl="8" w:tplc="040C0005" w:tentative="1">
      <w:start w:val="1"/>
      <w:numFmt w:val="bullet"/>
      <w:lvlText w:val=""/>
      <w:lvlJc w:val="left"/>
      <w:pPr>
        <w:tabs>
          <w:tab w:val="num" w:pos="6620"/>
        </w:tabs>
        <w:ind w:left="6620" w:hanging="360"/>
      </w:pPr>
      <w:rPr>
        <w:rFonts w:ascii="Wingdings" w:hAnsi="Wingdings" w:hint="default"/>
      </w:rPr>
    </w:lvl>
  </w:abstractNum>
  <w:abstractNum w:abstractNumId="2" w15:restartNumberingAfterBreak="0">
    <w:nsid w:val="2B2B3B6F"/>
    <w:multiLevelType w:val="hybridMultilevel"/>
    <w:tmpl w:val="8612E114"/>
    <w:lvl w:ilvl="0" w:tplc="0D283BE8">
      <w:start w:val="1"/>
      <w:numFmt w:val="decimal"/>
      <w:lvlText w:val="%1."/>
      <w:lvlJc w:val="left"/>
      <w:pPr>
        <w:ind w:left="1387" w:hanging="8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0EB55AF"/>
    <w:multiLevelType w:val="hybridMultilevel"/>
    <w:tmpl w:val="3ECA55EA"/>
    <w:lvl w:ilvl="0" w:tplc="4330E3CA">
      <w:start w:val="1"/>
      <w:numFmt w:val="decimal"/>
      <w:lvlText w:val="%1."/>
      <w:lvlJc w:val="left"/>
      <w:pPr>
        <w:ind w:left="1407" w:hanging="84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38EE403F"/>
    <w:multiLevelType w:val="hybridMultilevel"/>
    <w:tmpl w:val="F7E8127A"/>
    <w:lvl w:ilvl="0" w:tplc="C772BAB2">
      <w:start w:val="1"/>
      <w:numFmt w:val="decimal"/>
      <w:lvlText w:val="%1."/>
      <w:lvlJc w:val="left"/>
      <w:pPr>
        <w:tabs>
          <w:tab w:val="num" w:pos="920"/>
        </w:tabs>
        <w:ind w:left="920" w:hanging="360"/>
      </w:pPr>
      <w:rPr>
        <w:rFonts w:hint="default"/>
      </w:rPr>
    </w:lvl>
    <w:lvl w:ilvl="1" w:tplc="040C0019" w:tentative="1">
      <w:start w:val="1"/>
      <w:numFmt w:val="lowerLetter"/>
      <w:lvlText w:val="%2."/>
      <w:lvlJc w:val="left"/>
      <w:pPr>
        <w:tabs>
          <w:tab w:val="num" w:pos="1640"/>
        </w:tabs>
        <w:ind w:left="1640" w:hanging="360"/>
      </w:pPr>
    </w:lvl>
    <w:lvl w:ilvl="2" w:tplc="040C001B" w:tentative="1">
      <w:start w:val="1"/>
      <w:numFmt w:val="lowerRoman"/>
      <w:lvlText w:val="%3."/>
      <w:lvlJc w:val="right"/>
      <w:pPr>
        <w:tabs>
          <w:tab w:val="num" w:pos="2360"/>
        </w:tabs>
        <w:ind w:left="2360" w:hanging="180"/>
      </w:pPr>
    </w:lvl>
    <w:lvl w:ilvl="3" w:tplc="040C000F" w:tentative="1">
      <w:start w:val="1"/>
      <w:numFmt w:val="decimal"/>
      <w:lvlText w:val="%4."/>
      <w:lvlJc w:val="left"/>
      <w:pPr>
        <w:tabs>
          <w:tab w:val="num" w:pos="3080"/>
        </w:tabs>
        <w:ind w:left="3080" w:hanging="360"/>
      </w:pPr>
    </w:lvl>
    <w:lvl w:ilvl="4" w:tplc="040C0019" w:tentative="1">
      <w:start w:val="1"/>
      <w:numFmt w:val="lowerLetter"/>
      <w:lvlText w:val="%5."/>
      <w:lvlJc w:val="left"/>
      <w:pPr>
        <w:tabs>
          <w:tab w:val="num" w:pos="3800"/>
        </w:tabs>
        <w:ind w:left="3800" w:hanging="360"/>
      </w:pPr>
    </w:lvl>
    <w:lvl w:ilvl="5" w:tplc="040C001B" w:tentative="1">
      <w:start w:val="1"/>
      <w:numFmt w:val="lowerRoman"/>
      <w:lvlText w:val="%6."/>
      <w:lvlJc w:val="right"/>
      <w:pPr>
        <w:tabs>
          <w:tab w:val="num" w:pos="4520"/>
        </w:tabs>
        <w:ind w:left="4520" w:hanging="180"/>
      </w:pPr>
    </w:lvl>
    <w:lvl w:ilvl="6" w:tplc="040C000F" w:tentative="1">
      <w:start w:val="1"/>
      <w:numFmt w:val="decimal"/>
      <w:lvlText w:val="%7."/>
      <w:lvlJc w:val="left"/>
      <w:pPr>
        <w:tabs>
          <w:tab w:val="num" w:pos="5240"/>
        </w:tabs>
        <w:ind w:left="5240" w:hanging="360"/>
      </w:pPr>
    </w:lvl>
    <w:lvl w:ilvl="7" w:tplc="040C0019" w:tentative="1">
      <w:start w:val="1"/>
      <w:numFmt w:val="lowerLetter"/>
      <w:lvlText w:val="%8."/>
      <w:lvlJc w:val="left"/>
      <w:pPr>
        <w:tabs>
          <w:tab w:val="num" w:pos="5960"/>
        </w:tabs>
        <w:ind w:left="5960" w:hanging="360"/>
      </w:pPr>
    </w:lvl>
    <w:lvl w:ilvl="8" w:tplc="040C001B" w:tentative="1">
      <w:start w:val="1"/>
      <w:numFmt w:val="lowerRoman"/>
      <w:lvlText w:val="%9."/>
      <w:lvlJc w:val="right"/>
      <w:pPr>
        <w:tabs>
          <w:tab w:val="num" w:pos="6680"/>
        </w:tabs>
        <w:ind w:left="6680" w:hanging="180"/>
      </w:pPr>
    </w:lvl>
  </w:abstractNum>
  <w:abstractNum w:abstractNumId="5" w15:restartNumberingAfterBreak="0">
    <w:nsid w:val="4786287D"/>
    <w:multiLevelType w:val="hybridMultilevel"/>
    <w:tmpl w:val="66EAB36C"/>
    <w:lvl w:ilvl="0" w:tplc="109481B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C7B5399"/>
    <w:multiLevelType w:val="hybridMultilevel"/>
    <w:tmpl w:val="27A2DA4A"/>
    <w:lvl w:ilvl="0" w:tplc="0438070E">
      <w:numFmt w:val="bullet"/>
      <w:lvlText w:val="-"/>
      <w:lvlJc w:val="left"/>
      <w:pPr>
        <w:tabs>
          <w:tab w:val="num" w:pos="927"/>
        </w:tabs>
        <w:ind w:left="927"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A721F0F"/>
    <w:multiLevelType w:val="hybridMultilevel"/>
    <w:tmpl w:val="AAA29318"/>
    <w:lvl w:ilvl="0" w:tplc="D26258C4">
      <w:start w:val="16"/>
      <w:numFmt w:val="bullet"/>
      <w:lvlText w:val="–"/>
      <w:lvlJc w:val="left"/>
      <w:pPr>
        <w:tabs>
          <w:tab w:val="num" w:pos="1211"/>
        </w:tabs>
        <w:ind w:left="1211" w:hanging="360"/>
      </w:pPr>
      <w:rPr>
        <w:rFonts w:ascii="Times New Roman" w:eastAsia="Times New Roman" w:hAnsi="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Symbol" w:hAnsi="Symbol"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Symbol" w:hAnsi="Symbol"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Symbol" w:hAnsi="Symbol" w:hint="default"/>
      </w:rPr>
    </w:lvl>
  </w:abstractNum>
  <w:abstractNum w:abstractNumId="8" w15:restartNumberingAfterBreak="0">
    <w:nsid w:val="61CD502A"/>
    <w:multiLevelType w:val="hybridMultilevel"/>
    <w:tmpl w:val="812A8DE8"/>
    <w:lvl w:ilvl="0" w:tplc="5AE45558">
      <w:start w:val="1"/>
      <w:numFmt w:val="lowerLetter"/>
      <w:lvlText w:val="%1."/>
      <w:lvlJc w:val="left"/>
      <w:pPr>
        <w:ind w:left="1367" w:hanging="80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69BA4AD4"/>
    <w:multiLevelType w:val="hybridMultilevel"/>
    <w:tmpl w:val="621660BC"/>
    <w:lvl w:ilvl="0" w:tplc="827CDE3E">
      <w:numFmt w:val="bullet"/>
      <w:lvlText w:val="-"/>
      <w:lvlJc w:val="left"/>
      <w:pPr>
        <w:tabs>
          <w:tab w:val="num" w:pos="927"/>
        </w:tabs>
        <w:ind w:left="927" w:hanging="360"/>
      </w:pPr>
      <w:rPr>
        <w:rFonts w:ascii="Times New Roman" w:eastAsia="Times New Roman" w:hAnsi="Times New Roman"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6C814CA2"/>
    <w:multiLevelType w:val="hybridMultilevel"/>
    <w:tmpl w:val="39AA9DB0"/>
    <w:lvl w:ilvl="0" w:tplc="6CD28980">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11" w15:restartNumberingAfterBreak="0">
    <w:nsid w:val="7B18116D"/>
    <w:multiLevelType w:val="hybridMultilevel"/>
    <w:tmpl w:val="AC5A6DEC"/>
    <w:lvl w:ilvl="0" w:tplc="2DAC697C">
      <w:numFmt w:val="bullet"/>
      <w:lvlText w:val="–"/>
      <w:lvlJc w:val="left"/>
      <w:pPr>
        <w:tabs>
          <w:tab w:val="num" w:pos="860"/>
        </w:tabs>
        <w:ind w:left="860" w:hanging="360"/>
      </w:pPr>
      <w:rPr>
        <w:rFonts w:ascii="Times New Roman" w:eastAsia="Times New Roman" w:hAnsi="Times New Roman" w:hint="default"/>
      </w:rPr>
    </w:lvl>
    <w:lvl w:ilvl="1" w:tplc="040C0003" w:tentative="1">
      <w:start w:val="1"/>
      <w:numFmt w:val="bullet"/>
      <w:lvlText w:val="o"/>
      <w:lvlJc w:val="left"/>
      <w:pPr>
        <w:tabs>
          <w:tab w:val="num" w:pos="1580"/>
        </w:tabs>
        <w:ind w:left="1580" w:hanging="360"/>
      </w:pPr>
      <w:rPr>
        <w:rFonts w:ascii="Courier New" w:hAnsi="Courier New" w:hint="default"/>
      </w:rPr>
    </w:lvl>
    <w:lvl w:ilvl="2" w:tplc="040C0005" w:tentative="1">
      <w:start w:val="1"/>
      <w:numFmt w:val="bullet"/>
      <w:lvlText w:val=""/>
      <w:lvlJc w:val="left"/>
      <w:pPr>
        <w:tabs>
          <w:tab w:val="num" w:pos="2300"/>
        </w:tabs>
        <w:ind w:left="2300" w:hanging="360"/>
      </w:pPr>
      <w:rPr>
        <w:rFonts w:ascii="Wingdings" w:hAnsi="Wingdings" w:hint="default"/>
      </w:rPr>
    </w:lvl>
    <w:lvl w:ilvl="3" w:tplc="040C0001" w:tentative="1">
      <w:start w:val="1"/>
      <w:numFmt w:val="bullet"/>
      <w:lvlText w:val=""/>
      <w:lvlJc w:val="left"/>
      <w:pPr>
        <w:tabs>
          <w:tab w:val="num" w:pos="3020"/>
        </w:tabs>
        <w:ind w:left="3020" w:hanging="360"/>
      </w:pPr>
      <w:rPr>
        <w:rFonts w:ascii="Symbol" w:hAnsi="Symbol" w:hint="default"/>
      </w:rPr>
    </w:lvl>
    <w:lvl w:ilvl="4" w:tplc="040C0003" w:tentative="1">
      <w:start w:val="1"/>
      <w:numFmt w:val="bullet"/>
      <w:lvlText w:val="o"/>
      <w:lvlJc w:val="left"/>
      <w:pPr>
        <w:tabs>
          <w:tab w:val="num" w:pos="3740"/>
        </w:tabs>
        <w:ind w:left="3740" w:hanging="360"/>
      </w:pPr>
      <w:rPr>
        <w:rFonts w:ascii="Courier New" w:hAnsi="Courier New" w:hint="default"/>
      </w:rPr>
    </w:lvl>
    <w:lvl w:ilvl="5" w:tplc="040C0005" w:tentative="1">
      <w:start w:val="1"/>
      <w:numFmt w:val="bullet"/>
      <w:lvlText w:val=""/>
      <w:lvlJc w:val="left"/>
      <w:pPr>
        <w:tabs>
          <w:tab w:val="num" w:pos="4460"/>
        </w:tabs>
        <w:ind w:left="4460" w:hanging="360"/>
      </w:pPr>
      <w:rPr>
        <w:rFonts w:ascii="Wingdings" w:hAnsi="Wingdings" w:hint="default"/>
      </w:rPr>
    </w:lvl>
    <w:lvl w:ilvl="6" w:tplc="040C0001" w:tentative="1">
      <w:start w:val="1"/>
      <w:numFmt w:val="bullet"/>
      <w:lvlText w:val=""/>
      <w:lvlJc w:val="left"/>
      <w:pPr>
        <w:tabs>
          <w:tab w:val="num" w:pos="5180"/>
        </w:tabs>
        <w:ind w:left="5180" w:hanging="360"/>
      </w:pPr>
      <w:rPr>
        <w:rFonts w:ascii="Symbol" w:hAnsi="Symbol" w:hint="default"/>
      </w:rPr>
    </w:lvl>
    <w:lvl w:ilvl="7" w:tplc="040C0003" w:tentative="1">
      <w:start w:val="1"/>
      <w:numFmt w:val="bullet"/>
      <w:lvlText w:val="o"/>
      <w:lvlJc w:val="left"/>
      <w:pPr>
        <w:tabs>
          <w:tab w:val="num" w:pos="5900"/>
        </w:tabs>
        <w:ind w:left="5900" w:hanging="360"/>
      </w:pPr>
      <w:rPr>
        <w:rFonts w:ascii="Courier New" w:hAnsi="Courier New" w:hint="default"/>
      </w:rPr>
    </w:lvl>
    <w:lvl w:ilvl="8" w:tplc="040C0005" w:tentative="1">
      <w:start w:val="1"/>
      <w:numFmt w:val="bullet"/>
      <w:lvlText w:val=""/>
      <w:lvlJc w:val="left"/>
      <w:pPr>
        <w:tabs>
          <w:tab w:val="num" w:pos="6620"/>
        </w:tabs>
        <w:ind w:left="662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0"/>
  </w:num>
  <w:num w:numId="6">
    <w:abstractNumId w:val="4"/>
  </w:num>
  <w:num w:numId="7">
    <w:abstractNumId w:val="11"/>
  </w:num>
  <w:num w:numId="8">
    <w:abstractNumId w:val="9"/>
  </w:num>
  <w:num w:numId="9">
    <w:abstractNumId w:val="6"/>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fr-FR" w:vendorID="65" w:dllVersion="514"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B0"/>
    <w:rsid w:val="00002B97"/>
    <w:rsid w:val="00004187"/>
    <w:rsid w:val="000043A6"/>
    <w:rsid w:val="00004BE7"/>
    <w:rsid w:val="000061CB"/>
    <w:rsid w:val="00006534"/>
    <w:rsid w:val="00010794"/>
    <w:rsid w:val="000140D3"/>
    <w:rsid w:val="00022D39"/>
    <w:rsid w:val="00023294"/>
    <w:rsid w:val="00026C3A"/>
    <w:rsid w:val="0003023B"/>
    <w:rsid w:val="000304D7"/>
    <w:rsid w:val="00030E91"/>
    <w:rsid w:val="00034826"/>
    <w:rsid w:val="00035119"/>
    <w:rsid w:val="00042362"/>
    <w:rsid w:val="000477A1"/>
    <w:rsid w:val="0005202D"/>
    <w:rsid w:val="00053FE5"/>
    <w:rsid w:val="00056790"/>
    <w:rsid w:val="00056C14"/>
    <w:rsid w:val="00057091"/>
    <w:rsid w:val="000607CF"/>
    <w:rsid w:val="00060A95"/>
    <w:rsid w:val="00064A51"/>
    <w:rsid w:val="00064CE9"/>
    <w:rsid w:val="00064D27"/>
    <w:rsid w:val="00071555"/>
    <w:rsid w:val="00074D46"/>
    <w:rsid w:val="00080581"/>
    <w:rsid w:val="0008236D"/>
    <w:rsid w:val="00084DA7"/>
    <w:rsid w:val="00084F8A"/>
    <w:rsid w:val="00096892"/>
    <w:rsid w:val="000A0DA9"/>
    <w:rsid w:val="000A138D"/>
    <w:rsid w:val="000A13C5"/>
    <w:rsid w:val="000A34BD"/>
    <w:rsid w:val="000A40A7"/>
    <w:rsid w:val="000A5BE3"/>
    <w:rsid w:val="000B4381"/>
    <w:rsid w:val="000B49CC"/>
    <w:rsid w:val="000B5803"/>
    <w:rsid w:val="000B655A"/>
    <w:rsid w:val="000B7DB2"/>
    <w:rsid w:val="000C3C05"/>
    <w:rsid w:val="000C5279"/>
    <w:rsid w:val="000C67D4"/>
    <w:rsid w:val="000D1725"/>
    <w:rsid w:val="000D31B3"/>
    <w:rsid w:val="000D3AFD"/>
    <w:rsid w:val="000D4BCE"/>
    <w:rsid w:val="000D4C30"/>
    <w:rsid w:val="000D53DF"/>
    <w:rsid w:val="000D5E39"/>
    <w:rsid w:val="000D78F8"/>
    <w:rsid w:val="000D79B9"/>
    <w:rsid w:val="000E0311"/>
    <w:rsid w:val="000E75B0"/>
    <w:rsid w:val="000E7FD3"/>
    <w:rsid w:val="000F5599"/>
    <w:rsid w:val="000F5BB7"/>
    <w:rsid w:val="00104AFB"/>
    <w:rsid w:val="00104C5F"/>
    <w:rsid w:val="001052BD"/>
    <w:rsid w:val="0010654A"/>
    <w:rsid w:val="00107CC1"/>
    <w:rsid w:val="00110F0B"/>
    <w:rsid w:val="00113A9C"/>
    <w:rsid w:val="00114CB0"/>
    <w:rsid w:val="00122FE0"/>
    <w:rsid w:val="00126105"/>
    <w:rsid w:val="00127FF2"/>
    <w:rsid w:val="00130AA6"/>
    <w:rsid w:val="00131EA1"/>
    <w:rsid w:val="00142066"/>
    <w:rsid w:val="00143DBB"/>
    <w:rsid w:val="001508C5"/>
    <w:rsid w:val="00152F7E"/>
    <w:rsid w:val="001558CD"/>
    <w:rsid w:val="0015713E"/>
    <w:rsid w:val="00164889"/>
    <w:rsid w:val="001659D3"/>
    <w:rsid w:val="00166CFD"/>
    <w:rsid w:val="00173CF1"/>
    <w:rsid w:val="00176768"/>
    <w:rsid w:val="001768B8"/>
    <w:rsid w:val="00183457"/>
    <w:rsid w:val="00187183"/>
    <w:rsid w:val="00191821"/>
    <w:rsid w:val="00195857"/>
    <w:rsid w:val="00197F02"/>
    <w:rsid w:val="001A0247"/>
    <w:rsid w:val="001A2EDB"/>
    <w:rsid w:val="001A7E5D"/>
    <w:rsid w:val="001B130E"/>
    <w:rsid w:val="001B23D1"/>
    <w:rsid w:val="001B5F95"/>
    <w:rsid w:val="001B6264"/>
    <w:rsid w:val="001C046C"/>
    <w:rsid w:val="001C07DD"/>
    <w:rsid w:val="001C0B86"/>
    <w:rsid w:val="001C1909"/>
    <w:rsid w:val="001C19B4"/>
    <w:rsid w:val="001C5936"/>
    <w:rsid w:val="001C6CC3"/>
    <w:rsid w:val="001D49A1"/>
    <w:rsid w:val="001D5C18"/>
    <w:rsid w:val="001E0259"/>
    <w:rsid w:val="001E39C7"/>
    <w:rsid w:val="001E3C7B"/>
    <w:rsid w:val="001E676E"/>
    <w:rsid w:val="001E68E1"/>
    <w:rsid w:val="001E75DF"/>
    <w:rsid w:val="001F44C3"/>
    <w:rsid w:val="001F6F38"/>
    <w:rsid w:val="00201B73"/>
    <w:rsid w:val="00207575"/>
    <w:rsid w:val="00207C82"/>
    <w:rsid w:val="0021079C"/>
    <w:rsid w:val="00213AA4"/>
    <w:rsid w:val="0021452A"/>
    <w:rsid w:val="00215076"/>
    <w:rsid w:val="00216B42"/>
    <w:rsid w:val="00217A24"/>
    <w:rsid w:val="00226D81"/>
    <w:rsid w:val="00233F60"/>
    <w:rsid w:val="00237EBD"/>
    <w:rsid w:val="0024023F"/>
    <w:rsid w:val="00242B46"/>
    <w:rsid w:val="002441C3"/>
    <w:rsid w:val="00245D59"/>
    <w:rsid w:val="002517EA"/>
    <w:rsid w:val="002519E0"/>
    <w:rsid w:val="002532BA"/>
    <w:rsid w:val="00256F95"/>
    <w:rsid w:val="00257B2B"/>
    <w:rsid w:val="002629FB"/>
    <w:rsid w:val="00262AE1"/>
    <w:rsid w:val="002708FE"/>
    <w:rsid w:val="002726EC"/>
    <w:rsid w:val="002754D9"/>
    <w:rsid w:val="0028090B"/>
    <w:rsid w:val="00281C5E"/>
    <w:rsid w:val="00292E49"/>
    <w:rsid w:val="00296D5E"/>
    <w:rsid w:val="002A31D6"/>
    <w:rsid w:val="002A3C40"/>
    <w:rsid w:val="002A63B7"/>
    <w:rsid w:val="002B197B"/>
    <w:rsid w:val="002B206A"/>
    <w:rsid w:val="002B3797"/>
    <w:rsid w:val="002B5E4F"/>
    <w:rsid w:val="002B63D1"/>
    <w:rsid w:val="002B739E"/>
    <w:rsid w:val="002C0551"/>
    <w:rsid w:val="002D03B8"/>
    <w:rsid w:val="002D0402"/>
    <w:rsid w:val="002D0ABB"/>
    <w:rsid w:val="002D10D9"/>
    <w:rsid w:val="002D17FB"/>
    <w:rsid w:val="002D2A68"/>
    <w:rsid w:val="002D37A3"/>
    <w:rsid w:val="002D4500"/>
    <w:rsid w:val="002D5E1A"/>
    <w:rsid w:val="002D7701"/>
    <w:rsid w:val="002E646F"/>
    <w:rsid w:val="002F0AAA"/>
    <w:rsid w:val="002F234D"/>
    <w:rsid w:val="002F2528"/>
    <w:rsid w:val="002F3D04"/>
    <w:rsid w:val="002F414B"/>
    <w:rsid w:val="002F4B8A"/>
    <w:rsid w:val="002F6C3C"/>
    <w:rsid w:val="003001A6"/>
    <w:rsid w:val="0030086C"/>
    <w:rsid w:val="00301399"/>
    <w:rsid w:val="00311C37"/>
    <w:rsid w:val="003134B1"/>
    <w:rsid w:val="0032267E"/>
    <w:rsid w:val="003272D6"/>
    <w:rsid w:val="0032738F"/>
    <w:rsid w:val="00332D2A"/>
    <w:rsid w:val="00332E86"/>
    <w:rsid w:val="0033408A"/>
    <w:rsid w:val="0033440A"/>
    <w:rsid w:val="00335E34"/>
    <w:rsid w:val="00352078"/>
    <w:rsid w:val="00353B26"/>
    <w:rsid w:val="00360C50"/>
    <w:rsid w:val="003616BD"/>
    <w:rsid w:val="00362C5E"/>
    <w:rsid w:val="003657EF"/>
    <w:rsid w:val="00366383"/>
    <w:rsid w:val="00366447"/>
    <w:rsid w:val="00366557"/>
    <w:rsid w:val="00367782"/>
    <w:rsid w:val="00367831"/>
    <w:rsid w:val="00370213"/>
    <w:rsid w:val="00377B2E"/>
    <w:rsid w:val="00383B86"/>
    <w:rsid w:val="00385073"/>
    <w:rsid w:val="003854C5"/>
    <w:rsid w:val="0038631F"/>
    <w:rsid w:val="0039164C"/>
    <w:rsid w:val="0039268E"/>
    <w:rsid w:val="00392D51"/>
    <w:rsid w:val="00392FA3"/>
    <w:rsid w:val="003A0F5E"/>
    <w:rsid w:val="003A780B"/>
    <w:rsid w:val="003B51EE"/>
    <w:rsid w:val="003B7395"/>
    <w:rsid w:val="003B79E7"/>
    <w:rsid w:val="003C12B6"/>
    <w:rsid w:val="003C3A4E"/>
    <w:rsid w:val="003C5133"/>
    <w:rsid w:val="003C5C11"/>
    <w:rsid w:val="003C5DDF"/>
    <w:rsid w:val="003D2CBA"/>
    <w:rsid w:val="003D38A1"/>
    <w:rsid w:val="003D482E"/>
    <w:rsid w:val="003E3686"/>
    <w:rsid w:val="003F0174"/>
    <w:rsid w:val="003F44B6"/>
    <w:rsid w:val="003F58A8"/>
    <w:rsid w:val="00401501"/>
    <w:rsid w:val="00403992"/>
    <w:rsid w:val="00410760"/>
    <w:rsid w:val="004117BD"/>
    <w:rsid w:val="00413792"/>
    <w:rsid w:val="00416ECB"/>
    <w:rsid w:val="0042251D"/>
    <w:rsid w:val="00423542"/>
    <w:rsid w:val="0042797E"/>
    <w:rsid w:val="00431B6E"/>
    <w:rsid w:val="00431C59"/>
    <w:rsid w:val="00433537"/>
    <w:rsid w:val="00434F0D"/>
    <w:rsid w:val="00436FE6"/>
    <w:rsid w:val="00442397"/>
    <w:rsid w:val="00443604"/>
    <w:rsid w:val="00443983"/>
    <w:rsid w:val="00445586"/>
    <w:rsid w:val="00447428"/>
    <w:rsid w:val="004527D8"/>
    <w:rsid w:val="00455ECB"/>
    <w:rsid w:val="004577A8"/>
    <w:rsid w:val="00463F7E"/>
    <w:rsid w:val="004641F8"/>
    <w:rsid w:val="00466E58"/>
    <w:rsid w:val="00467962"/>
    <w:rsid w:val="004708F2"/>
    <w:rsid w:val="00473E32"/>
    <w:rsid w:val="00474EB2"/>
    <w:rsid w:val="004773A2"/>
    <w:rsid w:val="00477EFB"/>
    <w:rsid w:val="004803BD"/>
    <w:rsid w:val="00480525"/>
    <w:rsid w:val="004831E8"/>
    <w:rsid w:val="004864A5"/>
    <w:rsid w:val="00486C09"/>
    <w:rsid w:val="00486DD6"/>
    <w:rsid w:val="00495F32"/>
    <w:rsid w:val="004964AB"/>
    <w:rsid w:val="00497F07"/>
    <w:rsid w:val="004A5159"/>
    <w:rsid w:val="004B479B"/>
    <w:rsid w:val="004B6688"/>
    <w:rsid w:val="004B6A3E"/>
    <w:rsid w:val="004C5069"/>
    <w:rsid w:val="004D3233"/>
    <w:rsid w:val="004D654E"/>
    <w:rsid w:val="004E3517"/>
    <w:rsid w:val="004E6236"/>
    <w:rsid w:val="004E64D8"/>
    <w:rsid w:val="004F2F78"/>
    <w:rsid w:val="004F42B2"/>
    <w:rsid w:val="004F464E"/>
    <w:rsid w:val="004F47DB"/>
    <w:rsid w:val="004F4BFC"/>
    <w:rsid w:val="004F68FF"/>
    <w:rsid w:val="00501E5E"/>
    <w:rsid w:val="00504A13"/>
    <w:rsid w:val="00504A3C"/>
    <w:rsid w:val="00512928"/>
    <w:rsid w:val="00513CCC"/>
    <w:rsid w:val="00517C3B"/>
    <w:rsid w:val="00532111"/>
    <w:rsid w:val="00532E24"/>
    <w:rsid w:val="00533AFE"/>
    <w:rsid w:val="00537DB4"/>
    <w:rsid w:val="00540871"/>
    <w:rsid w:val="005412D7"/>
    <w:rsid w:val="00541969"/>
    <w:rsid w:val="00544E2A"/>
    <w:rsid w:val="00545980"/>
    <w:rsid w:val="00547654"/>
    <w:rsid w:val="00550A67"/>
    <w:rsid w:val="00551EF5"/>
    <w:rsid w:val="005551B7"/>
    <w:rsid w:val="0055691A"/>
    <w:rsid w:val="005604C6"/>
    <w:rsid w:val="0056461F"/>
    <w:rsid w:val="00571BAF"/>
    <w:rsid w:val="00571C63"/>
    <w:rsid w:val="005721FC"/>
    <w:rsid w:val="005723A4"/>
    <w:rsid w:val="005735BD"/>
    <w:rsid w:val="00573725"/>
    <w:rsid w:val="00574AEB"/>
    <w:rsid w:val="005752F7"/>
    <w:rsid w:val="00577F81"/>
    <w:rsid w:val="005825D3"/>
    <w:rsid w:val="00585700"/>
    <w:rsid w:val="005876FA"/>
    <w:rsid w:val="00587F77"/>
    <w:rsid w:val="005901BB"/>
    <w:rsid w:val="005916A7"/>
    <w:rsid w:val="00592EF8"/>
    <w:rsid w:val="005A2CE9"/>
    <w:rsid w:val="005A454E"/>
    <w:rsid w:val="005A4BF9"/>
    <w:rsid w:val="005A5625"/>
    <w:rsid w:val="005A75BC"/>
    <w:rsid w:val="005B3379"/>
    <w:rsid w:val="005C1491"/>
    <w:rsid w:val="005C174B"/>
    <w:rsid w:val="005C5430"/>
    <w:rsid w:val="005C6198"/>
    <w:rsid w:val="005C6B96"/>
    <w:rsid w:val="005D48D7"/>
    <w:rsid w:val="005D4F03"/>
    <w:rsid w:val="005E7DAD"/>
    <w:rsid w:val="005F0039"/>
    <w:rsid w:val="005F0738"/>
    <w:rsid w:val="005F16E7"/>
    <w:rsid w:val="005F1744"/>
    <w:rsid w:val="005F45DF"/>
    <w:rsid w:val="005F4F4C"/>
    <w:rsid w:val="005F5249"/>
    <w:rsid w:val="005F72C7"/>
    <w:rsid w:val="005F75A4"/>
    <w:rsid w:val="0060188E"/>
    <w:rsid w:val="00604917"/>
    <w:rsid w:val="006076AE"/>
    <w:rsid w:val="00607A6D"/>
    <w:rsid w:val="00610C63"/>
    <w:rsid w:val="0061261C"/>
    <w:rsid w:val="006134BF"/>
    <w:rsid w:val="006234CD"/>
    <w:rsid w:val="00624C3F"/>
    <w:rsid w:val="0062554F"/>
    <w:rsid w:val="00632AC6"/>
    <w:rsid w:val="00633853"/>
    <w:rsid w:val="00634225"/>
    <w:rsid w:val="0064219A"/>
    <w:rsid w:val="0064550C"/>
    <w:rsid w:val="00653B18"/>
    <w:rsid w:val="006549D3"/>
    <w:rsid w:val="00654EF1"/>
    <w:rsid w:val="006557DA"/>
    <w:rsid w:val="006563AF"/>
    <w:rsid w:val="006628F4"/>
    <w:rsid w:val="006633C0"/>
    <w:rsid w:val="00666A2E"/>
    <w:rsid w:val="00666E89"/>
    <w:rsid w:val="0067197D"/>
    <w:rsid w:val="006734B2"/>
    <w:rsid w:val="00674FA4"/>
    <w:rsid w:val="006768F7"/>
    <w:rsid w:val="006774CA"/>
    <w:rsid w:val="006846FD"/>
    <w:rsid w:val="00684942"/>
    <w:rsid w:val="00685C44"/>
    <w:rsid w:val="00686846"/>
    <w:rsid w:val="006910E5"/>
    <w:rsid w:val="00691618"/>
    <w:rsid w:val="0069225E"/>
    <w:rsid w:val="00695747"/>
    <w:rsid w:val="006A0D9D"/>
    <w:rsid w:val="006A1783"/>
    <w:rsid w:val="006A1936"/>
    <w:rsid w:val="006A30BE"/>
    <w:rsid w:val="006A563C"/>
    <w:rsid w:val="006B2BC1"/>
    <w:rsid w:val="006B3690"/>
    <w:rsid w:val="006B3E94"/>
    <w:rsid w:val="006B6DE3"/>
    <w:rsid w:val="006C11A8"/>
    <w:rsid w:val="006C6586"/>
    <w:rsid w:val="006C6676"/>
    <w:rsid w:val="006C71BA"/>
    <w:rsid w:val="006D279C"/>
    <w:rsid w:val="006D42B3"/>
    <w:rsid w:val="006D479A"/>
    <w:rsid w:val="006D4B9F"/>
    <w:rsid w:val="006D741E"/>
    <w:rsid w:val="006E0E75"/>
    <w:rsid w:val="006E6ACE"/>
    <w:rsid w:val="006E7D37"/>
    <w:rsid w:val="006F02E1"/>
    <w:rsid w:val="006F1851"/>
    <w:rsid w:val="006F20AB"/>
    <w:rsid w:val="007000CA"/>
    <w:rsid w:val="007037B2"/>
    <w:rsid w:val="007117B3"/>
    <w:rsid w:val="00712055"/>
    <w:rsid w:val="00713B6C"/>
    <w:rsid w:val="007145FE"/>
    <w:rsid w:val="00720395"/>
    <w:rsid w:val="007306A4"/>
    <w:rsid w:val="00732853"/>
    <w:rsid w:val="0073490B"/>
    <w:rsid w:val="007350ED"/>
    <w:rsid w:val="00736693"/>
    <w:rsid w:val="00737DA7"/>
    <w:rsid w:val="00745607"/>
    <w:rsid w:val="007520D9"/>
    <w:rsid w:val="00752E3B"/>
    <w:rsid w:val="007560A7"/>
    <w:rsid w:val="00761E36"/>
    <w:rsid w:val="00764100"/>
    <w:rsid w:val="00767164"/>
    <w:rsid w:val="00771742"/>
    <w:rsid w:val="00772628"/>
    <w:rsid w:val="00773154"/>
    <w:rsid w:val="00780AAB"/>
    <w:rsid w:val="00782033"/>
    <w:rsid w:val="00784E4B"/>
    <w:rsid w:val="00793EB4"/>
    <w:rsid w:val="00794617"/>
    <w:rsid w:val="00795000"/>
    <w:rsid w:val="007A06EC"/>
    <w:rsid w:val="007A70B1"/>
    <w:rsid w:val="007A7152"/>
    <w:rsid w:val="007B582E"/>
    <w:rsid w:val="007B6B72"/>
    <w:rsid w:val="007B7AAD"/>
    <w:rsid w:val="007C0047"/>
    <w:rsid w:val="007C044E"/>
    <w:rsid w:val="007C2119"/>
    <w:rsid w:val="007C291D"/>
    <w:rsid w:val="007C319A"/>
    <w:rsid w:val="007C3A25"/>
    <w:rsid w:val="007C3C39"/>
    <w:rsid w:val="007C4B8E"/>
    <w:rsid w:val="007D305F"/>
    <w:rsid w:val="007D6DA1"/>
    <w:rsid w:val="007D7926"/>
    <w:rsid w:val="007D7953"/>
    <w:rsid w:val="007E0C39"/>
    <w:rsid w:val="007E1A69"/>
    <w:rsid w:val="007E205C"/>
    <w:rsid w:val="007E31AA"/>
    <w:rsid w:val="007E55BA"/>
    <w:rsid w:val="007F096B"/>
    <w:rsid w:val="007F49A2"/>
    <w:rsid w:val="00807504"/>
    <w:rsid w:val="00811E46"/>
    <w:rsid w:val="008264C2"/>
    <w:rsid w:val="008326BC"/>
    <w:rsid w:val="00834304"/>
    <w:rsid w:val="00837779"/>
    <w:rsid w:val="00840FD1"/>
    <w:rsid w:val="00842071"/>
    <w:rsid w:val="00842775"/>
    <w:rsid w:val="00842D58"/>
    <w:rsid w:val="00843E6D"/>
    <w:rsid w:val="00844543"/>
    <w:rsid w:val="0084549D"/>
    <w:rsid w:val="0084606C"/>
    <w:rsid w:val="00846C9C"/>
    <w:rsid w:val="008473D1"/>
    <w:rsid w:val="00847D40"/>
    <w:rsid w:val="00851940"/>
    <w:rsid w:val="00862E35"/>
    <w:rsid w:val="008650B4"/>
    <w:rsid w:val="0087057B"/>
    <w:rsid w:val="0087597A"/>
    <w:rsid w:val="00876B34"/>
    <w:rsid w:val="00884655"/>
    <w:rsid w:val="00887829"/>
    <w:rsid w:val="008919F8"/>
    <w:rsid w:val="00892016"/>
    <w:rsid w:val="00892BA3"/>
    <w:rsid w:val="00895179"/>
    <w:rsid w:val="008976B4"/>
    <w:rsid w:val="008A2A33"/>
    <w:rsid w:val="008B22A0"/>
    <w:rsid w:val="008B2CA7"/>
    <w:rsid w:val="008B2FC1"/>
    <w:rsid w:val="008B65FF"/>
    <w:rsid w:val="008B7C8F"/>
    <w:rsid w:val="008B7D07"/>
    <w:rsid w:val="008C3829"/>
    <w:rsid w:val="008C7522"/>
    <w:rsid w:val="008D342D"/>
    <w:rsid w:val="008D5D8D"/>
    <w:rsid w:val="008D6B0D"/>
    <w:rsid w:val="008D7133"/>
    <w:rsid w:val="008E162A"/>
    <w:rsid w:val="008E78E0"/>
    <w:rsid w:val="008F13BC"/>
    <w:rsid w:val="008F4731"/>
    <w:rsid w:val="008F4BA7"/>
    <w:rsid w:val="008F4C44"/>
    <w:rsid w:val="009015CD"/>
    <w:rsid w:val="009027B4"/>
    <w:rsid w:val="009036F2"/>
    <w:rsid w:val="00904657"/>
    <w:rsid w:val="00910E23"/>
    <w:rsid w:val="00913077"/>
    <w:rsid w:val="00915764"/>
    <w:rsid w:val="00916687"/>
    <w:rsid w:val="00916BB6"/>
    <w:rsid w:val="009237A0"/>
    <w:rsid w:val="009237A2"/>
    <w:rsid w:val="00923944"/>
    <w:rsid w:val="009261FD"/>
    <w:rsid w:val="00930A50"/>
    <w:rsid w:val="00941429"/>
    <w:rsid w:val="00942543"/>
    <w:rsid w:val="009430B9"/>
    <w:rsid w:val="009458B6"/>
    <w:rsid w:val="00951B51"/>
    <w:rsid w:val="00953D61"/>
    <w:rsid w:val="0096307A"/>
    <w:rsid w:val="00963307"/>
    <w:rsid w:val="009656CA"/>
    <w:rsid w:val="00970167"/>
    <w:rsid w:val="00970A0F"/>
    <w:rsid w:val="0097276B"/>
    <w:rsid w:val="00973DB0"/>
    <w:rsid w:val="00976152"/>
    <w:rsid w:val="00980DAB"/>
    <w:rsid w:val="009816F9"/>
    <w:rsid w:val="00982F05"/>
    <w:rsid w:val="00987F33"/>
    <w:rsid w:val="009918A3"/>
    <w:rsid w:val="009924EC"/>
    <w:rsid w:val="00993759"/>
    <w:rsid w:val="00997384"/>
    <w:rsid w:val="009B5194"/>
    <w:rsid w:val="009B61E3"/>
    <w:rsid w:val="009B7F5E"/>
    <w:rsid w:val="009C0E00"/>
    <w:rsid w:val="009C1837"/>
    <w:rsid w:val="009D4CDF"/>
    <w:rsid w:val="009D54AF"/>
    <w:rsid w:val="009D7062"/>
    <w:rsid w:val="009E2888"/>
    <w:rsid w:val="009F46A6"/>
    <w:rsid w:val="009F4F7D"/>
    <w:rsid w:val="009F4FF0"/>
    <w:rsid w:val="009F517D"/>
    <w:rsid w:val="00A00C9B"/>
    <w:rsid w:val="00A01C84"/>
    <w:rsid w:val="00A02709"/>
    <w:rsid w:val="00A02AA5"/>
    <w:rsid w:val="00A04231"/>
    <w:rsid w:val="00A12A67"/>
    <w:rsid w:val="00A12E75"/>
    <w:rsid w:val="00A244D3"/>
    <w:rsid w:val="00A2500C"/>
    <w:rsid w:val="00A3096C"/>
    <w:rsid w:val="00A31A79"/>
    <w:rsid w:val="00A34B3A"/>
    <w:rsid w:val="00A40F37"/>
    <w:rsid w:val="00A410E0"/>
    <w:rsid w:val="00A41171"/>
    <w:rsid w:val="00A467B7"/>
    <w:rsid w:val="00A54023"/>
    <w:rsid w:val="00A568D4"/>
    <w:rsid w:val="00A572AB"/>
    <w:rsid w:val="00A57E90"/>
    <w:rsid w:val="00A60C87"/>
    <w:rsid w:val="00A62522"/>
    <w:rsid w:val="00A63326"/>
    <w:rsid w:val="00A64385"/>
    <w:rsid w:val="00A64A53"/>
    <w:rsid w:val="00A6519C"/>
    <w:rsid w:val="00A65A73"/>
    <w:rsid w:val="00A662EF"/>
    <w:rsid w:val="00A666AF"/>
    <w:rsid w:val="00A70A2F"/>
    <w:rsid w:val="00A7132A"/>
    <w:rsid w:val="00A76393"/>
    <w:rsid w:val="00A77F2D"/>
    <w:rsid w:val="00A85841"/>
    <w:rsid w:val="00A85AFC"/>
    <w:rsid w:val="00A873FF"/>
    <w:rsid w:val="00A91EA1"/>
    <w:rsid w:val="00AA106B"/>
    <w:rsid w:val="00AB1BE3"/>
    <w:rsid w:val="00AB3E37"/>
    <w:rsid w:val="00AB50B9"/>
    <w:rsid w:val="00AB65DD"/>
    <w:rsid w:val="00AC230E"/>
    <w:rsid w:val="00AC4E5A"/>
    <w:rsid w:val="00AC604C"/>
    <w:rsid w:val="00AC68C8"/>
    <w:rsid w:val="00AD03C6"/>
    <w:rsid w:val="00AD10BC"/>
    <w:rsid w:val="00AE4A8E"/>
    <w:rsid w:val="00AF0CFE"/>
    <w:rsid w:val="00AF308E"/>
    <w:rsid w:val="00AF5289"/>
    <w:rsid w:val="00AF5998"/>
    <w:rsid w:val="00B06822"/>
    <w:rsid w:val="00B078C6"/>
    <w:rsid w:val="00B10DD2"/>
    <w:rsid w:val="00B1497A"/>
    <w:rsid w:val="00B1583F"/>
    <w:rsid w:val="00B163F2"/>
    <w:rsid w:val="00B16DAF"/>
    <w:rsid w:val="00B173D5"/>
    <w:rsid w:val="00B174E0"/>
    <w:rsid w:val="00B17A33"/>
    <w:rsid w:val="00B236E9"/>
    <w:rsid w:val="00B30AAC"/>
    <w:rsid w:val="00B31AD6"/>
    <w:rsid w:val="00B33522"/>
    <w:rsid w:val="00B33C50"/>
    <w:rsid w:val="00B359FC"/>
    <w:rsid w:val="00B44CD4"/>
    <w:rsid w:val="00B478B8"/>
    <w:rsid w:val="00B51FB6"/>
    <w:rsid w:val="00B531EC"/>
    <w:rsid w:val="00B551CD"/>
    <w:rsid w:val="00B607FC"/>
    <w:rsid w:val="00B617CF"/>
    <w:rsid w:val="00B64106"/>
    <w:rsid w:val="00B65400"/>
    <w:rsid w:val="00B6697D"/>
    <w:rsid w:val="00B727B8"/>
    <w:rsid w:val="00B760A8"/>
    <w:rsid w:val="00B76C00"/>
    <w:rsid w:val="00B82CD8"/>
    <w:rsid w:val="00B83C4C"/>
    <w:rsid w:val="00B83D81"/>
    <w:rsid w:val="00B84573"/>
    <w:rsid w:val="00B86EC6"/>
    <w:rsid w:val="00B91C6D"/>
    <w:rsid w:val="00B94490"/>
    <w:rsid w:val="00B96DD5"/>
    <w:rsid w:val="00BA1437"/>
    <w:rsid w:val="00BA253E"/>
    <w:rsid w:val="00BA2AC1"/>
    <w:rsid w:val="00BA4335"/>
    <w:rsid w:val="00BA681A"/>
    <w:rsid w:val="00BA7FDD"/>
    <w:rsid w:val="00BB1F15"/>
    <w:rsid w:val="00BB4D76"/>
    <w:rsid w:val="00BB6A87"/>
    <w:rsid w:val="00BB6E3A"/>
    <w:rsid w:val="00BC503C"/>
    <w:rsid w:val="00BE3091"/>
    <w:rsid w:val="00BE6B99"/>
    <w:rsid w:val="00BE7D4D"/>
    <w:rsid w:val="00BF14B3"/>
    <w:rsid w:val="00BF3EEB"/>
    <w:rsid w:val="00BF5282"/>
    <w:rsid w:val="00BF75DD"/>
    <w:rsid w:val="00C004B1"/>
    <w:rsid w:val="00C01886"/>
    <w:rsid w:val="00C0490F"/>
    <w:rsid w:val="00C10938"/>
    <w:rsid w:val="00C1377C"/>
    <w:rsid w:val="00C15B75"/>
    <w:rsid w:val="00C16852"/>
    <w:rsid w:val="00C16D5A"/>
    <w:rsid w:val="00C23845"/>
    <w:rsid w:val="00C32855"/>
    <w:rsid w:val="00C36648"/>
    <w:rsid w:val="00C419A4"/>
    <w:rsid w:val="00C43C79"/>
    <w:rsid w:val="00C500FD"/>
    <w:rsid w:val="00C50348"/>
    <w:rsid w:val="00C57119"/>
    <w:rsid w:val="00C64768"/>
    <w:rsid w:val="00C6590E"/>
    <w:rsid w:val="00C66DB6"/>
    <w:rsid w:val="00C675AD"/>
    <w:rsid w:val="00C70F11"/>
    <w:rsid w:val="00C81B16"/>
    <w:rsid w:val="00C82220"/>
    <w:rsid w:val="00C83532"/>
    <w:rsid w:val="00C84213"/>
    <w:rsid w:val="00C85DFC"/>
    <w:rsid w:val="00C85E97"/>
    <w:rsid w:val="00C86A59"/>
    <w:rsid w:val="00C920D5"/>
    <w:rsid w:val="00C92872"/>
    <w:rsid w:val="00C96525"/>
    <w:rsid w:val="00CA3BD8"/>
    <w:rsid w:val="00CA4AC0"/>
    <w:rsid w:val="00CB16A9"/>
    <w:rsid w:val="00CB2522"/>
    <w:rsid w:val="00CB749F"/>
    <w:rsid w:val="00CC1B6C"/>
    <w:rsid w:val="00CC323E"/>
    <w:rsid w:val="00CC3FE1"/>
    <w:rsid w:val="00CC5BC3"/>
    <w:rsid w:val="00CD3E3B"/>
    <w:rsid w:val="00CD4085"/>
    <w:rsid w:val="00CD4D59"/>
    <w:rsid w:val="00CD5835"/>
    <w:rsid w:val="00CD5CF7"/>
    <w:rsid w:val="00CE0305"/>
    <w:rsid w:val="00CE1F5D"/>
    <w:rsid w:val="00CE2894"/>
    <w:rsid w:val="00CE352F"/>
    <w:rsid w:val="00CF18D0"/>
    <w:rsid w:val="00CF2CE7"/>
    <w:rsid w:val="00D01CBB"/>
    <w:rsid w:val="00D03390"/>
    <w:rsid w:val="00D04212"/>
    <w:rsid w:val="00D04AAC"/>
    <w:rsid w:val="00D120BA"/>
    <w:rsid w:val="00D13120"/>
    <w:rsid w:val="00D1541F"/>
    <w:rsid w:val="00D223AB"/>
    <w:rsid w:val="00D234E6"/>
    <w:rsid w:val="00D242C5"/>
    <w:rsid w:val="00D27E17"/>
    <w:rsid w:val="00D30AF8"/>
    <w:rsid w:val="00D34186"/>
    <w:rsid w:val="00D355AF"/>
    <w:rsid w:val="00D35E0A"/>
    <w:rsid w:val="00D37275"/>
    <w:rsid w:val="00D446B7"/>
    <w:rsid w:val="00D510B8"/>
    <w:rsid w:val="00D604AB"/>
    <w:rsid w:val="00D60A91"/>
    <w:rsid w:val="00D626CC"/>
    <w:rsid w:val="00D64168"/>
    <w:rsid w:val="00D643F8"/>
    <w:rsid w:val="00D679D3"/>
    <w:rsid w:val="00D70ECD"/>
    <w:rsid w:val="00D733BD"/>
    <w:rsid w:val="00D74E45"/>
    <w:rsid w:val="00D75B54"/>
    <w:rsid w:val="00D763DB"/>
    <w:rsid w:val="00D838EA"/>
    <w:rsid w:val="00D8571F"/>
    <w:rsid w:val="00DA06E6"/>
    <w:rsid w:val="00DA1820"/>
    <w:rsid w:val="00DA1E92"/>
    <w:rsid w:val="00DA492F"/>
    <w:rsid w:val="00DA4AEC"/>
    <w:rsid w:val="00DA66A0"/>
    <w:rsid w:val="00DB019D"/>
    <w:rsid w:val="00DC1CB3"/>
    <w:rsid w:val="00DC4956"/>
    <w:rsid w:val="00DC5845"/>
    <w:rsid w:val="00DC70D6"/>
    <w:rsid w:val="00DD0843"/>
    <w:rsid w:val="00DD3001"/>
    <w:rsid w:val="00DE1CFE"/>
    <w:rsid w:val="00DE37FB"/>
    <w:rsid w:val="00DE7840"/>
    <w:rsid w:val="00DF0625"/>
    <w:rsid w:val="00DF4708"/>
    <w:rsid w:val="00DF5EC7"/>
    <w:rsid w:val="00DF7CC2"/>
    <w:rsid w:val="00E00585"/>
    <w:rsid w:val="00E02EB2"/>
    <w:rsid w:val="00E113D1"/>
    <w:rsid w:val="00E13D51"/>
    <w:rsid w:val="00E159FC"/>
    <w:rsid w:val="00E1777A"/>
    <w:rsid w:val="00E17C7D"/>
    <w:rsid w:val="00E21DF7"/>
    <w:rsid w:val="00E21EA4"/>
    <w:rsid w:val="00E24110"/>
    <w:rsid w:val="00E24C00"/>
    <w:rsid w:val="00E25810"/>
    <w:rsid w:val="00E25CE1"/>
    <w:rsid w:val="00E263D3"/>
    <w:rsid w:val="00E263D4"/>
    <w:rsid w:val="00E26DE5"/>
    <w:rsid w:val="00E30FD1"/>
    <w:rsid w:val="00E325E9"/>
    <w:rsid w:val="00E33F44"/>
    <w:rsid w:val="00E352F7"/>
    <w:rsid w:val="00E3533F"/>
    <w:rsid w:val="00E41D87"/>
    <w:rsid w:val="00E42E7A"/>
    <w:rsid w:val="00E43452"/>
    <w:rsid w:val="00E44236"/>
    <w:rsid w:val="00E460A6"/>
    <w:rsid w:val="00E462AF"/>
    <w:rsid w:val="00E5121D"/>
    <w:rsid w:val="00E51F26"/>
    <w:rsid w:val="00E54F7F"/>
    <w:rsid w:val="00E61442"/>
    <w:rsid w:val="00E632D4"/>
    <w:rsid w:val="00E66553"/>
    <w:rsid w:val="00E66DEE"/>
    <w:rsid w:val="00E70A05"/>
    <w:rsid w:val="00E714EC"/>
    <w:rsid w:val="00E715BF"/>
    <w:rsid w:val="00E72C59"/>
    <w:rsid w:val="00E73D60"/>
    <w:rsid w:val="00E80A16"/>
    <w:rsid w:val="00E82248"/>
    <w:rsid w:val="00E8314C"/>
    <w:rsid w:val="00E83418"/>
    <w:rsid w:val="00E8672F"/>
    <w:rsid w:val="00E93D60"/>
    <w:rsid w:val="00E9783E"/>
    <w:rsid w:val="00EB1072"/>
    <w:rsid w:val="00EB6409"/>
    <w:rsid w:val="00EC47B5"/>
    <w:rsid w:val="00ED15DB"/>
    <w:rsid w:val="00ED394B"/>
    <w:rsid w:val="00ED42C9"/>
    <w:rsid w:val="00ED4ACE"/>
    <w:rsid w:val="00ED663A"/>
    <w:rsid w:val="00ED6E07"/>
    <w:rsid w:val="00EE42EA"/>
    <w:rsid w:val="00EE5AA2"/>
    <w:rsid w:val="00EF0FFE"/>
    <w:rsid w:val="00EF13E2"/>
    <w:rsid w:val="00EF6E09"/>
    <w:rsid w:val="00F001DF"/>
    <w:rsid w:val="00F06AB1"/>
    <w:rsid w:val="00F072E3"/>
    <w:rsid w:val="00F141C1"/>
    <w:rsid w:val="00F14C74"/>
    <w:rsid w:val="00F16C6F"/>
    <w:rsid w:val="00F172E2"/>
    <w:rsid w:val="00F2085A"/>
    <w:rsid w:val="00F20A53"/>
    <w:rsid w:val="00F220F9"/>
    <w:rsid w:val="00F248C2"/>
    <w:rsid w:val="00F33534"/>
    <w:rsid w:val="00F408C4"/>
    <w:rsid w:val="00F43D36"/>
    <w:rsid w:val="00F45236"/>
    <w:rsid w:val="00F47CAF"/>
    <w:rsid w:val="00F51158"/>
    <w:rsid w:val="00F54002"/>
    <w:rsid w:val="00F5475E"/>
    <w:rsid w:val="00F56120"/>
    <w:rsid w:val="00F566B0"/>
    <w:rsid w:val="00F56B08"/>
    <w:rsid w:val="00F625B5"/>
    <w:rsid w:val="00F630BB"/>
    <w:rsid w:val="00F67BDB"/>
    <w:rsid w:val="00F7203F"/>
    <w:rsid w:val="00F80D42"/>
    <w:rsid w:val="00F83E05"/>
    <w:rsid w:val="00F8724C"/>
    <w:rsid w:val="00F910E2"/>
    <w:rsid w:val="00F914D7"/>
    <w:rsid w:val="00F95E87"/>
    <w:rsid w:val="00F97561"/>
    <w:rsid w:val="00FA1D6E"/>
    <w:rsid w:val="00FA4113"/>
    <w:rsid w:val="00FA6236"/>
    <w:rsid w:val="00FB190C"/>
    <w:rsid w:val="00FB3009"/>
    <w:rsid w:val="00FB3F11"/>
    <w:rsid w:val="00FB5DEE"/>
    <w:rsid w:val="00FB6FEA"/>
    <w:rsid w:val="00FC053C"/>
    <w:rsid w:val="00FC1047"/>
    <w:rsid w:val="00FC19A3"/>
    <w:rsid w:val="00FC54D5"/>
    <w:rsid w:val="00FD48E6"/>
    <w:rsid w:val="00FD5CA1"/>
    <w:rsid w:val="00FE3B10"/>
    <w:rsid w:val="00FE3BDA"/>
    <w:rsid w:val="00FE7C31"/>
    <w:rsid w:val="00FF117D"/>
    <w:rsid w:val="00FF12EE"/>
    <w:rsid w:val="00FF3A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4EF283"/>
  <w14:defaultImageDpi w14:val="300"/>
  <w15:docId w15:val="{AD375703-F0B3-4750-81A0-A31E9D3B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1B3"/>
    <w:pPr>
      <w:ind w:firstLine="709"/>
      <w:jc w:val="both"/>
    </w:pPr>
    <w:rPr>
      <w:rFonts w:eastAsiaTheme="minorEastAsia" w:cstheme="minorBidi"/>
      <w:sz w:val="24"/>
    </w:rPr>
  </w:style>
  <w:style w:type="paragraph" w:styleId="berschrift1">
    <w:name w:val="heading 1"/>
    <w:basedOn w:val="Standard"/>
    <w:next w:val="Standard"/>
    <w:autoRedefine/>
    <w:qFormat/>
    <w:rsid w:val="00E5121D"/>
    <w:pPr>
      <w:keepNext/>
      <w:tabs>
        <w:tab w:val="left" w:pos="0"/>
        <w:tab w:val="left" w:pos="1418"/>
        <w:tab w:val="left" w:pos="3402"/>
        <w:tab w:val="left" w:pos="4820"/>
        <w:tab w:val="right" w:pos="9072"/>
      </w:tabs>
      <w:ind w:left="1701" w:right="1701" w:firstLine="0"/>
      <w:jc w:val="center"/>
      <w:outlineLvl w:val="0"/>
    </w:pPr>
    <w:rPr>
      <w:b/>
      <w:sz w:val="36"/>
    </w:rPr>
  </w:style>
  <w:style w:type="paragraph" w:styleId="berschrift2">
    <w:name w:val="heading 2"/>
    <w:basedOn w:val="Standard"/>
    <w:next w:val="Standard"/>
    <w:qFormat/>
    <w:rsid w:val="00E5121D"/>
    <w:pPr>
      <w:keepNext/>
      <w:tabs>
        <w:tab w:val="right" w:pos="9072"/>
      </w:tabs>
      <w:spacing w:before="240" w:after="60"/>
      <w:outlineLvl w:val="1"/>
    </w:pPr>
    <w:rPr>
      <w:b/>
      <w:sz w:val="28"/>
    </w:rPr>
  </w:style>
  <w:style w:type="paragraph" w:styleId="berschrift3">
    <w:name w:val="heading 3"/>
    <w:basedOn w:val="Standard"/>
    <w:next w:val="Standard"/>
    <w:qFormat/>
    <w:rsid w:val="00140D84"/>
    <w:pPr>
      <w:keepNext/>
      <w:tabs>
        <w:tab w:val="right" w:pos="9072"/>
      </w:tabs>
      <w:ind w:right="6" w:firstLine="0"/>
      <w:outlineLvl w:val="2"/>
    </w:pPr>
    <w:rPr>
      <w:b/>
    </w:rPr>
  </w:style>
  <w:style w:type="paragraph" w:styleId="berschrift4">
    <w:name w:val="heading 4"/>
    <w:basedOn w:val="Standard"/>
    <w:next w:val="Standard"/>
    <w:autoRedefine/>
    <w:pPr>
      <w:keepNext/>
      <w:tabs>
        <w:tab w:val="left" w:pos="0"/>
        <w:tab w:val="left" w:pos="1418"/>
        <w:tab w:val="left" w:pos="3402"/>
        <w:tab w:val="left" w:pos="4820"/>
        <w:tab w:val="right" w:pos="9072"/>
      </w:tabs>
      <w:outlineLvl w:val="3"/>
    </w:pPr>
    <w:rPr>
      <w:b/>
      <w:i/>
    </w:rPr>
  </w:style>
  <w:style w:type="paragraph" w:styleId="berschrift5">
    <w:name w:val="heading 5"/>
    <w:basedOn w:val="Standard"/>
    <w:next w:val="Standard"/>
    <w:autoRedefine/>
    <w:rsid w:val="004F2546"/>
    <w:pPr>
      <w:tabs>
        <w:tab w:val="left" w:pos="0"/>
        <w:tab w:val="left" w:pos="1418"/>
        <w:tab w:val="left" w:pos="3402"/>
        <w:tab w:val="left" w:pos="4820"/>
        <w:tab w:val="right" w:pos="9072"/>
      </w:tabs>
      <w:ind w:firstLine="0"/>
      <w:outlineLvl w:val="4"/>
    </w:pPr>
    <w:rPr>
      <w:i/>
      <w:u w:val="single"/>
    </w:rPr>
  </w:style>
  <w:style w:type="paragraph" w:styleId="berschrift6">
    <w:name w:val="heading 6"/>
    <w:basedOn w:val="berschrift5"/>
    <w:next w:val="Standard"/>
    <w:autoRedefine/>
    <w:rsid w:val="004F2546"/>
    <w:pPr>
      <w:outlineLvl w:val="5"/>
    </w:pPr>
    <w:rPr>
      <w:u w:val="none"/>
    </w:rPr>
  </w:style>
  <w:style w:type="paragraph" w:styleId="berschrift7">
    <w:name w:val="heading 7"/>
    <w:basedOn w:val="Standard"/>
    <w:next w:val="Standard"/>
    <w:autoRedefine/>
    <w:pPr>
      <w:keepNext/>
      <w:outlineLvl w:val="6"/>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ppeldenote">
    <w:name w:val="Appel de note"/>
    <w:basedOn w:val="Standard"/>
    <w:qFormat/>
    <w:rsid w:val="00EC47B5"/>
    <w:pPr>
      <w:ind w:firstLine="0"/>
    </w:pPr>
  </w:style>
  <w:style w:type="paragraph" w:styleId="Funotentext">
    <w:name w:val="footnote text"/>
    <w:basedOn w:val="Standard"/>
    <w:link w:val="FunotentextZchn"/>
    <w:uiPriority w:val="99"/>
    <w:qFormat/>
    <w:rsid w:val="00C84213"/>
    <w:pPr>
      <w:ind w:firstLine="0"/>
    </w:pPr>
    <w:rPr>
      <w:rFonts w:cs="Times New Roman"/>
      <w:sz w:val="20"/>
    </w:rPr>
  </w:style>
  <w:style w:type="paragraph" w:styleId="Textkrper-Zeileneinzug">
    <w:name w:val="Body Text Indent"/>
    <w:aliases w:val="Références auteurs"/>
    <w:basedOn w:val="Standard"/>
    <w:autoRedefine/>
    <w:rsid w:val="003E3686"/>
    <w:pPr>
      <w:ind w:left="567" w:firstLine="284"/>
      <w:jc w:val="right"/>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autoRedefine/>
  </w:style>
  <w:style w:type="paragraph" w:styleId="Textkrper-Einzug3">
    <w:name w:val="Body Text Indent 3"/>
    <w:basedOn w:val="Standard"/>
    <w:autoRedefine/>
    <w:rPr>
      <w:color w:val="FF0000"/>
    </w:rPr>
  </w:style>
  <w:style w:type="paragraph" w:styleId="Textkrper">
    <w:name w:val="Body Text"/>
    <w:basedOn w:val="Standard"/>
    <w:pPr>
      <w:ind w:firstLine="0"/>
    </w:pPr>
  </w:style>
  <w:style w:type="paragraph" w:customStyle="1" w:styleId="TEXTE">
    <w:name w:val="TEXTE"/>
    <w:basedOn w:val="Standard"/>
    <w:autoRedefine/>
    <w:pPr>
      <w:spacing w:line="360" w:lineRule="atLeast"/>
      <w:ind w:firstLine="0"/>
    </w:pPr>
    <w:rPr>
      <w:rFonts w:ascii="Times" w:hAnsi="Times"/>
    </w:rPr>
  </w:style>
  <w:style w:type="paragraph" w:customStyle="1" w:styleId="citation">
    <w:name w:val="citation"/>
    <w:basedOn w:val="Standard"/>
    <w:rsid w:val="00997384"/>
    <w:pPr>
      <w:ind w:left="1134" w:firstLine="284"/>
      <w:contextualSpacing/>
    </w:pPr>
    <w:rPr>
      <w:sz w:val="20"/>
    </w:rPr>
  </w:style>
  <w:style w:type="paragraph" w:customStyle="1" w:styleId="Citationsansretrait">
    <w:name w:val="Citation sans retrait"/>
    <w:basedOn w:val="citation"/>
    <w:qFormat/>
    <w:rsid w:val="00624C3F"/>
    <w:pPr>
      <w:tabs>
        <w:tab w:val="left" w:pos="2977"/>
      </w:tabs>
      <w:ind w:left="1123" w:right="6" w:firstLine="0"/>
    </w:pPr>
  </w:style>
  <w:style w:type="character" w:styleId="Hyperlink">
    <w:name w:val="Hyperlink"/>
    <w:rsid w:val="004864A5"/>
    <w:rPr>
      <w:color w:val="0000FF"/>
      <w:u w:val="single"/>
    </w:rPr>
  </w:style>
  <w:style w:type="paragraph" w:styleId="Zitat">
    <w:name w:val="Quote"/>
    <w:basedOn w:val="Standard"/>
    <w:next w:val="Standard"/>
    <w:link w:val="ZitatZchn"/>
    <w:uiPriority w:val="29"/>
    <w:qFormat/>
    <w:rsid w:val="00624C3F"/>
    <w:pPr>
      <w:ind w:left="1134" w:firstLine="284"/>
    </w:pPr>
    <w:rPr>
      <w:iCs/>
      <w:color w:val="000000" w:themeColor="text1"/>
      <w:sz w:val="20"/>
    </w:rPr>
  </w:style>
  <w:style w:type="character" w:customStyle="1" w:styleId="ZitatZchn">
    <w:name w:val="Zitat Zchn"/>
    <w:basedOn w:val="Absatz-Standardschriftart"/>
    <w:link w:val="Zitat"/>
    <w:uiPriority w:val="29"/>
    <w:rsid w:val="00624C3F"/>
    <w:rPr>
      <w:rFonts w:cs="Courier New"/>
      <w:iCs/>
      <w:color w:val="000000" w:themeColor="text1"/>
    </w:rPr>
  </w:style>
  <w:style w:type="character" w:styleId="Buchtitel">
    <w:name w:val="Book Title"/>
    <w:basedOn w:val="Absatz-Standardschriftart"/>
    <w:uiPriority w:val="33"/>
    <w:rsid w:val="00EC47B5"/>
    <w:rPr>
      <w:b/>
      <w:bCs/>
      <w:smallCaps/>
      <w:spacing w:val="5"/>
    </w:rPr>
  </w:style>
  <w:style w:type="character" w:styleId="Funotenzeichen">
    <w:name w:val="footnote reference"/>
    <w:uiPriority w:val="99"/>
    <w:unhideWhenUsed/>
    <w:qFormat/>
    <w:rsid w:val="00624C3F"/>
    <w:rPr>
      <w:rFonts w:ascii="Times New Roman" w:hAnsi="Times New Roman"/>
      <w:sz w:val="24"/>
      <w:szCs w:val="24"/>
      <w:vertAlign w:val="superscript"/>
    </w:rPr>
  </w:style>
  <w:style w:type="character" w:styleId="HTMLTastatur">
    <w:name w:val="HTML Keyboard"/>
    <w:basedOn w:val="Absatz-Standardschriftart"/>
    <w:uiPriority w:val="99"/>
    <w:semiHidden/>
    <w:unhideWhenUsed/>
    <w:rsid w:val="00EC47B5"/>
    <w:rPr>
      <w:rFonts w:ascii="Courier" w:hAnsi="Courier"/>
      <w:sz w:val="20"/>
      <w:szCs w:val="20"/>
    </w:rPr>
  </w:style>
  <w:style w:type="character" w:customStyle="1" w:styleId="highlight">
    <w:name w:val="highlight"/>
    <w:basedOn w:val="Absatz-Standardschriftart"/>
    <w:rsid w:val="00DA66A0"/>
  </w:style>
  <w:style w:type="character" w:customStyle="1" w:styleId="st">
    <w:name w:val="st"/>
    <w:basedOn w:val="Absatz-Standardschriftart"/>
    <w:rsid w:val="00A568D4"/>
  </w:style>
  <w:style w:type="character" w:styleId="Hervorhebung">
    <w:name w:val="Emphasis"/>
    <w:basedOn w:val="Absatz-Standardschriftart"/>
    <w:uiPriority w:val="20"/>
    <w:qFormat/>
    <w:rsid w:val="00A568D4"/>
    <w:rPr>
      <w:i/>
      <w:iCs/>
    </w:rPr>
  </w:style>
  <w:style w:type="paragraph" w:customStyle="1" w:styleId="Para11">
    <w:name w:val="Para 11"/>
    <w:basedOn w:val="Standard"/>
    <w:rsid w:val="005876FA"/>
    <w:pPr>
      <w:spacing w:line="252" w:lineRule="atLeast"/>
      <w:ind w:firstLine="0"/>
      <w:jc w:val="right"/>
    </w:pPr>
    <w:rPr>
      <w:rFonts w:ascii="Charis" w:eastAsia="Charis" w:hAnsi="Charis" w:cs="Times New Roman"/>
      <w:color w:val="000000"/>
      <w:sz w:val="18"/>
      <w:szCs w:val="18"/>
      <w:lang w:val="fr" w:eastAsia="fr"/>
    </w:rPr>
  </w:style>
  <w:style w:type="paragraph" w:customStyle="1" w:styleId="Para14">
    <w:name w:val="Para 14"/>
    <w:basedOn w:val="Standard"/>
    <w:rsid w:val="005876FA"/>
    <w:pPr>
      <w:spacing w:line="252" w:lineRule="atLeast"/>
      <w:ind w:firstLine="0"/>
    </w:pPr>
    <w:rPr>
      <w:rFonts w:ascii="Charis" w:eastAsia="Charis" w:hAnsi="Charis" w:cs="Times New Roman"/>
      <w:color w:val="000000"/>
      <w:sz w:val="18"/>
      <w:szCs w:val="18"/>
      <w:lang w:val="fr" w:eastAsia="fr"/>
    </w:rPr>
  </w:style>
  <w:style w:type="paragraph" w:customStyle="1" w:styleId="Para27">
    <w:name w:val="Para 27"/>
    <w:basedOn w:val="Standard"/>
    <w:rsid w:val="005876FA"/>
    <w:pPr>
      <w:spacing w:line="252" w:lineRule="atLeast"/>
      <w:ind w:left="1152" w:right="1152" w:firstLine="0"/>
      <w:jc w:val="center"/>
    </w:pPr>
    <w:rPr>
      <w:rFonts w:ascii="Charis" w:eastAsia="Charis" w:hAnsi="Charis" w:cs="Times New Roman"/>
      <w:color w:val="000000"/>
      <w:sz w:val="18"/>
      <w:szCs w:val="18"/>
      <w:lang w:val="fr" w:eastAsia="fr"/>
    </w:rPr>
  </w:style>
  <w:style w:type="character" w:customStyle="1" w:styleId="0Text">
    <w:name w:val="0 Text"/>
    <w:rsid w:val="005876FA"/>
    <w:rPr>
      <w:rFonts w:ascii="CharisItalic" w:eastAsia="CharisItalic" w:hAnsi="CharisItalic" w:cs="CharisItalic"/>
      <w:i/>
      <w:iCs/>
    </w:rPr>
  </w:style>
  <w:style w:type="character" w:customStyle="1" w:styleId="2Text">
    <w:name w:val="2 Text"/>
    <w:rsid w:val="005876FA"/>
    <w:rPr>
      <w:color w:val="0000FF"/>
      <w:u w:val="single"/>
    </w:rPr>
  </w:style>
  <w:style w:type="character" w:customStyle="1" w:styleId="FunotentextZchn">
    <w:name w:val="Fußnotentext Zchn"/>
    <w:link w:val="Funotentext"/>
    <w:uiPriority w:val="99"/>
    <w:rsid w:val="00AD03C6"/>
  </w:style>
  <w:style w:type="paragraph" w:customStyle="1" w:styleId="citationsansretrait0">
    <w:name w:val="citation sans retrait"/>
    <w:basedOn w:val="citation"/>
    <w:qFormat/>
    <w:rsid w:val="00AD03C6"/>
    <w:pPr>
      <w:spacing w:line="240" w:lineRule="exact"/>
      <w:ind w:left="624" w:firstLine="0"/>
      <w:contextualSpacing w:val="0"/>
    </w:pPr>
    <w:rPr>
      <w:rFonts w:cs="Times New Roman"/>
    </w:rPr>
  </w:style>
  <w:style w:type="character" w:styleId="Kommentarzeichen">
    <w:name w:val="annotation reference"/>
    <w:basedOn w:val="Absatz-Standardschriftart"/>
    <w:uiPriority w:val="99"/>
    <w:semiHidden/>
    <w:unhideWhenUsed/>
    <w:rsid w:val="00BB6A87"/>
    <w:rPr>
      <w:sz w:val="18"/>
      <w:szCs w:val="18"/>
    </w:rPr>
  </w:style>
  <w:style w:type="paragraph" w:styleId="Kommentartext">
    <w:name w:val="annotation text"/>
    <w:basedOn w:val="Standard"/>
    <w:link w:val="KommentartextZchn"/>
    <w:uiPriority w:val="99"/>
    <w:semiHidden/>
    <w:unhideWhenUsed/>
    <w:rsid w:val="00BB6A87"/>
    <w:rPr>
      <w:szCs w:val="24"/>
    </w:rPr>
  </w:style>
  <w:style w:type="character" w:customStyle="1" w:styleId="KommentartextZchn">
    <w:name w:val="Kommentartext Zchn"/>
    <w:basedOn w:val="Absatz-Standardschriftart"/>
    <w:link w:val="Kommentartext"/>
    <w:uiPriority w:val="99"/>
    <w:semiHidden/>
    <w:rsid w:val="00BB6A87"/>
    <w:rPr>
      <w:rFonts w:cs="Courier New"/>
      <w:sz w:val="24"/>
      <w:szCs w:val="24"/>
    </w:rPr>
  </w:style>
  <w:style w:type="paragraph" w:styleId="Kommentarthema">
    <w:name w:val="annotation subject"/>
    <w:basedOn w:val="Kommentartext"/>
    <w:next w:val="Kommentartext"/>
    <w:link w:val="KommentarthemaZchn"/>
    <w:uiPriority w:val="99"/>
    <w:semiHidden/>
    <w:unhideWhenUsed/>
    <w:rsid w:val="00BB6A87"/>
    <w:rPr>
      <w:b/>
      <w:bCs/>
      <w:sz w:val="20"/>
      <w:szCs w:val="20"/>
    </w:rPr>
  </w:style>
  <w:style w:type="character" w:customStyle="1" w:styleId="KommentarthemaZchn">
    <w:name w:val="Kommentarthema Zchn"/>
    <w:basedOn w:val="KommentartextZchn"/>
    <w:link w:val="Kommentarthema"/>
    <w:uiPriority w:val="99"/>
    <w:semiHidden/>
    <w:rsid w:val="00BB6A87"/>
    <w:rPr>
      <w:rFonts w:cs="Courier New"/>
      <w:b/>
      <w:bCs/>
      <w:sz w:val="24"/>
      <w:szCs w:val="24"/>
    </w:rPr>
  </w:style>
  <w:style w:type="paragraph" w:styleId="Sprechblasentext">
    <w:name w:val="Balloon Text"/>
    <w:basedOn w:val="Standard"/>
    <w:link w:val="SprechblasentextZchn"/>
    <w:uiPriority w:val="99"/>
    <w:semiHidden/>
    <w:unhideWhenUsed/>
    <w:rsid w:val="00BB6A8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B6A87"/>
    <w:rPr>
      <w:rFonts w:ascii="Lucida Grande" w:hAnsi="Lucida Grande" w:cs="Lucida Grande"/>
      <w:sz w:val="18"/>
      <w:szCs w:val="18"/>
    </w:rPr>
  </w:style>
  <w:style w:type="character" w:customStyle="1" w:styleId="notice-label">
    <w:name w:val="notice-label"/>
    <w:basedOn w:val="Absatz-Standardschriftart"/>
    <w:rsid w:val="00064D27"/>
  </w:style>
  <w:style w:type="character" w:customStyle="1" w:styleId="uppercase">
    <w:name w:val="uppercase"/>
    <w:basedOn w:val="Absatz-Standardschriftart"/>
    <w:rsid w:val="009237A0"/>
  </w:style>
  <w:style w:type="character" w:customStyle="1" w:styleId="Mentionnonrsolue1">
    <w:name w:val="Mention non résolue1"/>
    <w:basedOn w:val="Absatz-Standardschriftart"/>
    <w:uiPriority w:val="99"/>
    <w:semiHidden/>
    <w:unhideWhenUsed/>
    <w:rsid w:val="00C66D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123">
      <w:bodyDiv w:val="1"/>
      <w:marLeft w:val="0"/>
      <w:marRight w:val="0"/>
      <w:marTop w:val="0"/>
      <w:marBottom w:val="0"/>
      <w:divBdr>
        <w:top w:val="none" w:sz="0" w:space="0" w:color="auto"/>
        <w:left w:val="none" w:sz="0" w:space="0" w:color="auto"/>
        <w:bottom w:val="none" w:sz="0" w:space="0" w:color="auto"/>
        <w:right w:val="none" w:sz="0" w:space="0" w:color="auto"/>
      </w:divBdr>
      <w:divsChild>
        <w:div w:id="54471806">
          <w:marLeft w:val="0"/>
          <w:marRight w:val="0"/>
          <w:marTop w:val="0"/>
          <w:marBottom w:val="0"/>
          <w:divBdr>
            <w:top w:val="none" w:sz="0" w:space="0" w:color="auto"/>
            <w:left w:val="none" w:sz="0" w:space="0" w:color="auto"/>
            <w:bottom w:val="none" w:sz="0" w:space="0" w:color="auto"/>
            <w:right w:val="none" w:sz="0" w:space="0" w:color="auto"/>
          </w:divBdr>
          <w:divsChild>
            <w:div w:id="56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426">
      <w:bodyDiv w:val="1"/>
      <w:marLeft w:val="0"/>
      <w:marRight w:val="0"/>
      <w:marTop w:val="0"/>
      <w:marBottom w:val="0"/>
      <w:divBdr>
        <w:top w:val="none" w:sz="0" w:space="0" w:color="auto"/>
        <w:left w:val="none" w:sz="0" w:space="0" w:color="auto"/>
        <w:bottom w:val="none" w:sz="0" w:space="0" w:color="auto"/>
        <w:right w:val="none" w:sz="0" w:space="0" w:color="auto"/>
      </w:divBdr>
    </w:div>
    <w:div w:id="62028162">
      <w:bodyDiv w:val="1"/>
      <w:marLeft w:val="0"/>
      <w:marRight w:val="0"/>
      <w:marTop w:val="0"/>
      <w:marBottom w:val="0"/>
      <w:divBdr>
        <w:top w:val="none" w:sz="0" w:space="0" w:color="auto"/>
        <w:left w:val="none" w:sz="0" w:space="0" w:color="auto"/>
        <w:bottom w:val="none" w:sz="0" w:space="0" w:color="auto"/>
        <w:right w:val="none" w:sz="0" w:space="0" w:color="auto"/>
      </w:divBdr>
    </w:div>
    <w:div w:id="79911795">
      <w:bodyDiv w:val="1"/>
      <w:marLeft w:val="0"/>
      <w:marRight w:val="0"/>
      <w:marTop w:val="0"/>
      <w:marBottom w:val="0"/>
      <w:divBdr>
        <w:top w:val="none" w:sz="0" w:space="0" w:color="auto"/>
        <w:left w:val="none" w:sz="0" w:space="0" w:color="auto"/>
        <w:bottom w:val="none" w:sz="0" w:space="0" w:color="auto"/>
        <w:right w:val="none" w:sz="0" w:space="0" w:color="auto"/>
      </w:divBdr>
      <w:divsChild>
        <w:div w:id="805704402">
          <w:marLeft w:val="0"/>
          <w:marRight w:val="0"/>
          <w:marTop w:val="0"/>
          <w:marBottom w:val="0"/>
          <w:divBdr>
            <w:top w:val="none" w:sz="0" w:space="0" w:color="auto"/>
            <w:left w:val="none" w:sz="0" w:space="0" w:color="auto"/>
            <w:bottom w:val="none" w:sz="0" w:space="0" w:color="auto"/>
            <w:right w:val="none" w:sz="0" w:space="0" w:color="auto"/>
          </w:divBdr>
          <w:divsChild>
            <w:div w:id="1419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690">
      <w:bodyDiv w:val="1"/>
      <w:marLeft w:val="0"/>
      <w:marRight w:val="0"/>
      <w:marTop w:val="0"/>
      <w:marBottom w:val="0"/>
      <w:divBdr>
        <w:top w:val="none" w:sz="0" w:space="0" w:color="auto"/>
        <w:left w:val="none" w:sz="0" w:space="0" w:color="auto"/>
        <w:bottom w:val="none" w:sz="0" w:space="0" w:color="auto"/>
        <w:right w:val="none" w:sz="0" w:space="0" w:color="auto"/>
      </w:divBdr>
      <w:divsChild>
        <w:div w:id="1083643232">
          <w:marLeft w:val="0"/>
          <w:marRight w:val="0"/>
          <w:marTop w:val="0"/>
          <w:marBottom w:val="0"/>
          <w:divBdr>
            <w:top w:val="none" w:sz="0" w:space="0" w:color="auto"/>
            <w:left w:val="none" w:sz="0" w:space="0" w:color="auto"/>
            <w:bottom w:val="none" w:sz="0" w:space="0" w:color="auto"/>
            <w:right w:val="none" w:sz="0" w:space="0" w:color="auto"/>
          </w:divBdr>
          <w:divsChild>
            <w:div w:id="2016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9362">
      <w:bodyDiv w:val="1"/>
      <w:marLeft w:val="0"/>
      <w:marRight w:val="0"/>
      <w:marTop w:val="0"/>
      <w:marBottom w:val="0"/>
      <w:divBdr>
        <w:top w:val="none" w:sz="0" w:space="0" w:color="auto"/>
        <w:left w:val="none" w:sz="0" w:space="0" w:color="auto"/>
        <w:bottom w:val="none" w:sz="0" w:space="0" w:color="auto"/>
        <w:right w:val="none" w:sz="0" w:space="0" w:color="auto"/>
      </w:divBdr>
      <w:divsChild>
        <w:div w:id="1180974405">
          <w:marLeft w:val="0"/>
          <w:marRight w:val="0"/>
          <w:marTop w:val="0"/>
          <w:marBottom w:val="0"/>
          <w:divBdr>
            <w:top w:val="none" w:sz="0" w:space="0" w:color="auto"/>
            <w:left w:val="none" w:sz="0" w:space="0" w:color="auto"/>
            <w:bottom w:val="none" w:sz="0" w:space="0" w:color="auto"/>
            <w:right w:val="none" w:sz="0" w:space="0" w:color="auto"/>
          </w:divBdr>
          <w:divsChild>
            <w:div w:id="19781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962">
      <w:bodyDiv w:val="1"/>
      <w:marLeft w:val="0"/>
      <w:marRight w:val="0"/>
      <w:marTop w:val="0"/>
      <w:marBottom w:val="0"/>
      <w:divBdr>
        <w:top w:val="none" w:sz="0" w:space="0" w:color="auto"/>
        <w:left w:val="none" w:sz="0" w:space="0" w:color="auto"/>
        <w:bottom w:val="none" w:sz="0" w:space="0" w:color="auto"/>
        <w:right w:val="none" w:sz="0" w:space="0" w:color="auto"/>
      </w:divBdr>
      <w:divsChild>
        <w:div w:id="507453125">
          <w:marLeft w:val="0"/>
          <w:marRight w:val="0"/>
          <w:marTop w:val="0"/>
          <w:marBottom w:val="0"/>
          <w:divBdr>
            <w:top w:val="none" w:sz="0" w:space="0" w:color="auto"/>
            <w:left w:val="none" w:sz="0" w:space="0" w:color="auto"/>
            <w:bottom w:val="none" w:sz="0" w:space="0" w:color="auto"/>
            <w:right w:val="none" w:sz="0" w:space="0" w:color="auto"/>
          </w:divBdr>
          <w:divsChild>
            <w:div w:id="4866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6702">
      <w:bodyDiv w:val="1"/>
      <w:marLeft w:val="0"/>
      <w:marRight w:val="0"/>
      <w:marTop w:val="0"/>
      <w:marBottom w:val="0"/>
      <w:divBdr>
        <w:top w:val="none" w:sz="0" w:space="0" w:color="auto"/>
        <w:left w:val="none" w:sz="0" w:space="0" w:color="auto"/>
        <w:bottom w:val="none" w:sz="0" w:space="0" w:color="auto"/>
        <w:right w:val="none" w:sz="0" w:space="0" w:color="auto"/>
      </w:divBdr>
      <w:divsChild>
        <w:div w:id="636840424">
          <w:marLeft w:val="0"/>
          <w:marRight w:val="0"/>
          <w:marTop w:val="0"/>
          <w:marBottom w:val="0"/>
          <w:divBdr>
            <w:top w:val="none" w:sz="0" w:space="0" w:color="auto"/>
            <w:left w:val="none" w:sz="0" w:space="0" w:color="auto"/>
            <w:bottom w:val="none" w:sz="0" w:space="0" w:color="auto"/>
            <w:right w:val="none" w:sz="0" w:space="0" w:color="auto"/>
          </w:divBdr>
          <w:divsChild>
            <w:div w:id="2217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8306">
      <w:bodyDiv w:val="1"/>
      <w:marLeft w:val="0"/>
      <w:marRight w:val="0"/>
      <w:marTop w:val="0"/>
      <w:marBottom w:val="0"/>
      <w:divBdr>
        <w:top w:val="none" w:sz="0" w:space="0" w:color="auto"/>
        <w:left w:val="none" w:sz="0" w:space="0" w:color="auto"/>
        <w:bottom w:val="none" w:sz="0" w:space="0" w:color="auto"/>
        <w:right w:val="none" w:sz="0" w:space="0" w:color="auto"/>
      </w:divBdr>
      <w:divsChild>
        <w:div w:id="86997908">
          <w:marLeft w:val="0"/>
          <w:marRight w:val="0"/>
          <w:marTop w:val="0"/>
          <w:marBottom w:val="0"/>
          <w:divBdr>
            <w:top w:val="none" w:sz="0" w:space="0" w:color="auto"/>
            <w:left w:val="none" w:sz="0" w:space="0" w:color="auto"/>
            <w:bottom w:val="none" w:sz="0" w:space="0" w:color="auto"/>
            <w:right w:val="none" w:sz="0" w:space="0" w:color="auto"/>
          </w:divBdr>
          <w:divsChild>
            <w:div w:id="14263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3546">
      <w:bodyDiv w:val="1"/>
      <w:marLeft w:val="0"/>
      <w:marRight w:val="0"/>
      <w:marTop w:val="0"/>
      <w:marBottom w:val="0"/>
      <w:divBdr>
        <w:top w:val="none" w:sz="0" w:space="0" w:color="auto"/>
        <w:left w:val="none" w:sz="0" w:space="0" w:color="auto"/>
        <w:bottom w:val="none" w:sz="0" w:space="0" w:color="auto"/>
        <w:right w:val="none" w:sz="0" w:space="0" w:color="auto"/>
      </w:divBdr>
      <w:divsChild>
        <w:div w:id="594092061">
          <w:marLeft w:val="0"/>
          <w:marRight w:val="0"/>
          <w:marTop w:val="0"/>
          <w:marBottom w:val="0"/>
          <w:divBdr>
            <w:top w:val="none" w:sz="0" w:space="0" w:color="auto"/>
            <w:left w:val="none" w:sz="0" w:space="0" w:color="auto"/>
            <w:bottom w:val="none" w:sz="0" w:space="0" w:color="auto"/>
            <w:right w:val="none" w:sz="0" w:space="0" w:color="auto"/>
          </w:divBdr>
        </w:div>
        <w:div w:id="1223491588">
          <w:marLeft w:val="0"/>
          <w:marRight w:val="0"/>
          <w:marTop w:val="0"/>
          <w:marBottom w:val="0"/>
          <w:divBdr>
            <w:top w:val="none" w:sz="0" w:space="0" w:color="auto"/>
            <w:left w:val="none" w:sz="0" w:space="0" w:color="auto"/>
            <w:bottom w:val="none" w:sz="0" w:space="0" w:color="auto"/>
            <w:right w:val="none" w:sz="0" w:space="0" w:color="auto"/>
          </w:divBdr>
        </w:div>
        <w:div w:id="1831099811">
          <w:marLeft w:val="0"/>
          <w:marRight w:val="0"/>
          <w:marTop w:val="0"/>
          <w:marBottom w:val="0"/>
          <w:divBdr>
            <w:top w:val="none" w:sz="0" w:space="0" w:color="auto"/>
            <w:left w:val="none" w:sz="0" w:space="0" w:color="auto"/>
            <w:bottom w:val="none" w:sz="0" w:space="0" w:color="auto"/>
            <w:right w:val="none" w:sz="0" w:space="0" w:color="auto"/>
          </w:divBdr>
        </w:div>
      </w:divsChild>
    </w:div>
    <w:div w:id="344941848">
      <w:bodyDiv w:val="1"/>
      <w:marLeft w:val="0"/>
      <w:marRight w:val="0"/>
      <w:marTop w:val="0"/>
      <w:marBottom w:val="0"/>
      <w:divBdr>
        <w:top w:val="none" w:sz="0" w:space="0" w:color="auto"/>
        <w:left w:val="none" w:sz="0" w:space="0" w:color="auto"/>
        <w:bottom w:val="none" w:sz="0" w:space="0" w:color="auto"/>
        <w:right w:val="none" w:sz="0" w:space="0" w:color="auto"/>
      </w:divBdr>
      <w:divsChild>
        <w:div w:id="1151561529">
          <w:marLeft w:val="0"/>
          <w:marRight w:val="0"/>
          <w:marTop w:val="0"/>
          <w:marBottom w:val="0"/>
          <w:divBdr>
            <w:top w:val="none" w:sz="0" w:space="0" w:color="auto"/>
            <w:left w:val="none" w:sz="0" w:space="0" w:color="auto"/>
            <w:bottom w:val="none" w:sz="0" w:space="0" w:color="auto"/>
            <w:right w:val="none" w:sz="0" w:space="0" w:color="auto"/>
          </w:divBdr>
          <w:divsChild>
            <w:div w:id="15851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2977">
      <w:bodyDiv w:val="1"/>
      <w:marLeft w:val="0"/>
      <w:marRight w:val="0"/>
      <w:marTop w:val="0"/>
      <w:marBottom w:val="0"/>
      <w:divBdr>
        <w:top w:val="none" w:sz="0" w:space="0" w:color="auto"/>
        <w:left w:val="none" w:sz="0" w:space="0" w:color="auto"/>
        <w:bottom w:val="none" w:sz="0" w:space="0" w:color="auto"/>
        <w:right w:val="none" w:sz="0" w:space="0" w:color="auto"/>
      </w:divBdr>
      <w:divsChild>
        <w:div w:id="81999719">
          <w:marLeft w:val="0"/>
          <w:marRight w:val="0"/>
          <w:marTop w:val="0"/>
          <w:marBottom w:val="0"/>
          <w:divBdr>
            <w:top w:val="none" w:sz="0" w:space="0" w:color="auto"/>
            <w:left w:val="none" w:sz="0" w:space="0" w:color="auto"/>
            <w:bottom w:val="none" w:sz="0" w:space="0" w:color="auto"/>
            <w:right w:val="none" w:sz="0" w:space="0" w:color="auto"/>
          </w:divBdr>
          <w:divsChild>
            <w:div w:id="12919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7194">
      <w:bodyDiv w:val="1"/>
      <w:marLeft w:val="0"/>
      <w:marRight w:val="0"/>
      <w:marTop w:val="0"/>
      <w:marBottom w:val="0"/>
      <w:divBdr>
        <w:top w:val="none" w:sz="0" w:space="0" w:color="auto"/>
        <w:left w:val="none" w:sz="0" w:space="0" w:color="auto"/>
        <w:bottom w:val="none" w:sz="0" w:space="0" w:color="auto"/>
        <w:right w:val="none" w:sz="0" w:space="0" w:color="auto"/>
      </w:divBdr>
      <w:divsChild>
        <w:div w:id="389109546">
          <w:marLeft w:val="0"/>
          <w:marRight w:val="0"/>
          <w:marTop w:val="0"/>
          <w:marBottom w:val="0"/>
          <w:divBdr>
            <w:top w:val="none" w:sz="0" w:space="0" w:color="auto"/>
            <w:left w:val="none" w:sz="0" w:space="0" w:color="auto"/>
            <w:bottom w:val="none" w:sz="0" w:space="0" w:color="auto"/>
            <w:right w:val="none" w:sz="0" w:space="0" w:color="auto"/>
          </w:divBdr>
          <w:divsChild>
            <w:div w:id="882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9387">
      <w:bodyDiv w:val="1"/>
      <w:marLeft w:val="0"/>
      <w:marRight w:val="0"/>
      <w:marTop w:val="0"/>
      <w:marBottom w:val="0"/>
      <w:divBdr>
        <w:top w:val="none" w:sz="0" w:space="0" w:color="auto"/>
        <w:left w:val="none" w:sz="0" w:space="0" w:color="auto"/>
        <w:bottom w:val="none" w:sz="0" w:space="0" w:color="auto"/>
        <w:right w:val="none" w:sz="0" w:space="0" w:color="auto"/>
      </w:divBdr>
      <w:divsChild>
        <w:div w:id="2019190078">
          <w:marLeft w:val="0"/>
          <w:marRight w:val="0"/>
          <w:marTop w:val="0"/>
          <w:marBottom w:val="0"/>
          <w:divBdr>
            <w:top w:val="none" w:sz="0" w:space="0" w:color="auto"/>
            <w:left w:val="none" w:sz="0" w:space="0" w:color="auto"/>
            <w:bottom w:val="none" w:sz="0" w:space="0" w:color="auto"/>
            <w:right w:val="none" w:sz="0" w:space="0" w:color="auto"/>
          </w:divBdr>
          <w:divsChild>
            <w:div w:id="133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6451">
      <w:bodyDiv w:val="1"/>
      <w:marLeft w:val="0"/>
      <w:marRight w:val="0"/>
      <w:marTop w:val="0"/>
      <w:marBottom w:val="0"/>
      <w:divBdr>
        <w:top w:val="none" w:sz="0" w:space="0" w:color="auto"/>
        <w:left w:val="none" w:sz="0" w:space="0" w:color="auto"/>
        <w:bottom w:val="none" w:sz="0" w:space="0" w:color="auto"/>
        <w:right w:val="none" w:sz="0" w:space="0" w:color="auto"/>
      </w:divBdr>
      <w:divsChild>
        <w:div w:id="398484951">
          <w:marLeft w:val="0"/>
          <w:marRight w:val="0"/>
          <w:marTop w:val="0"/>
          <w:marBottom w:val="0"/>
          <w:divBdr>
            <w:top w:val="none" w:sz="0" w:space="0" w:color="auto"/>
            <w:left w:val="none" w:sz="0" w:space="0" w:color="auto"/>
            <w:bottom w:val="none" w:sz="0" w:space="0" w:color="auto"/>
            <w:right w:val="none" w:sz="0" w:space="0" w:color="auto"/>
          </w:divBdr>
        </w:div>
      </w:divsChild>
    </w:div>
    <w:div w:id="606890026">
      <w:bodyDiv w:val="1"/>
      <w:marLeft w:val="0"/>
      <w:marRight w:val="0"/>
      <w:marTop w:val="0"/>
      <w:marBottom w:val="0"/>
      <w:divBdr>
        <w:top w:val="none" w:sz="0" w:space="0" w:color="auto"/>
        <w:left w:val="none" w:sz="0" w:space="0" w:color="auto"/>
        <w:bottom w:val="none" w:sz="0" w:space="0" w:color="auto"/>
        <w:right w:val="none" w:sz="0" w:space="0" w:color="auto"/>
      </w:divBdr>
      <w:divsChild>
        <w:div w:id="1572497126">
          <w:marLeft w:val="0"/>
          <w:marRight w:val="0"/>
          <w:marTop w:val="0"/>
          <w:marBottom w:val="0"/>
          <w:divBdr>
            <w:top w:val="none" w:sz="0" w:space="0" w:color="auto"/>
            <w:left w:val="none" w:sz="0" w:space="0" w:color="auto"/>
            <w:bottom w:val="none" w:sz="0" w:space="0" w:color="auto"/>
            <w:right w:val="none" w:sz="0" w:space="0" w:color="auto"/>
          </w:divBdr>
          <w:divsChild>
            <w:div w:id="11584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3493">
      <w:bodyDiv w:val="1"/>
      <w:marLeft w:val="0"/>
      <w:marRight w:val="0"/>
      <w:marTop w:val="0"/>
      <w:marBottom w:val="0"/>
      <w:divBdr>
        <w:top w:val="none" w:sz="0" w:space="0" w:color="auto"/>
        <w:left w:val="none" w:sz="0" w:space="0" w:color="auto"/>
        <w:bottom w:val="none" w:sz="0" w:space="0" w:color="auto"/>
        <w:right w:val="none" w:sz="0" w:space="0" w:color="auto"/>
      </w:divBdr>
      <w:divsChild>
        <w:div w:id="1475830291">
          <w:marLeft w:val="0"/>
          <w:marRight w:val="0"/>
          <w:marTop w:val="0"/>
          <w:marBottom w:val="0"/>
          <w:divBdr>
            <w:top w:val="none" w:sz="0" w:space="0" w:color="auto"/>
            <w:left w:val="none" w:sz="0" w:space="0" w:color="auto"/>
            <w:bottom w:val="none" w:sz="0" w:space="0" w:color="auto"/>
            <w:right w:val="none" w:sz="0" w:space="0" w:color="auto"/>
          </w:divBdr>
          <w:divsChild>
            <w:div w:id="5492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228">
      <w:bodyDiv w:val="1"/>
      <w:marLeft w:val="0"/>
      <w:marRight w:val="0"/>
      <w:marTop w:val="0"/>
      <w:marBottom w:val="0"/>
      <w:divBdr>
        <w:top w:val="none" w:sz="0" w:space="0" w:color="auto"/>
        <w:left w:val="none" w:sz="0" w:space="0" w:color="auto"/>
        <w:bottom w:val="none" w:sz="0" w:space="0" w:color="auto"/>
        <w:right w:val="none" w:sz="0" w:space="0" w:color="auto"/>
      </w:divBdr>
      <w:divsChild>
        <w:div w:id="1306474414">
          <w:marLeft w:val="0"/>
          <w:marRight w:val="0"/>
          <w:marTop w:val="0"/>
          <w:marBottom w:val="0"/>
          <w:divBdr>
            <w:top w:val="none" w:sz="0" w:space="0" w:color="auto"/>
            <w:left w:val="none" w:sz="0" w:space="0" w:color="auto"/>
            <w:bottom w:val="none" w:sz="0" w:space="0" w:color="auto"/>
            <w:right w:val="none" w:sz="0" w:space="0" w:color="auto"/>
          </w:divBdr>
          <w:divsChild>
            <w:div w:id="13978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033">
      <w:bodyDiv w:val="1"/>
      <w:marLeft w:val="0"/>
      <w:marRight w:val="0"/>
      <w:marTop w:val="0"/>
      <w:marBottom w:val="0"/>
      <w:divBdr>
        <w:top w:val="none" w:sz="0" w:space="0" w:color="auto"/>
        <w:left w:val="none" w:sz="0" w:space="0" w:color="auto"/>
        <w:bottom w:val="none" w:sz="0" w:space="0" w:color="auto"/>
        <w:right w:val="none" w:sz="0" w:space="0" w:color="auto"/>
      </w:divBdr>
      <w:divsChild>
        <w:div w:id="709887384">
          <w:marLeft w:val="0"/>
          <w:marRight w:val="0"/>
          <w:marTop w:val="0"/>
          <w:marBottom w:val="0"/>
          <w:divBdr>
            <w:top w:val="none" w:sz="0" w:space="0" w:color="auto"/>
            <w:left w:val="none" w:sz="0" w:space="0" w:color="auto"/>
            <w:bottom w:val="none" w:sz="0" w:space="0" w:color="auto"/>
            <w:right w:val="none" w:sz="0" w:space="0" w:color="auto"/>
          </w:divBdr>
          <w:divsChild>
            <w:div w:id="11695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6094">
      <w:bodyDiv w:val="1"/>
      <w:marLeft w:val="0"/>
      <w:marRight w:val="0"/>
      <w:marTop w:val="0"/>
      <w:marBottom w:val="0"/>
      <w:divBdr>
        <w:top w:val="none" w:sz="0" w:space="0" w:color="auto"/>
        <w:left w:val="none" w:sz="0" w:space="0" w:color="auto"/>
        <w:bottom w:val="none" w:sz="0" w:space="0" w:color="auto"/>
        <w:right w:val="none" w:sz="0" w:space="0" w:color="auto"/>
      </w:divBdr>
      <w:divsChild>
        <w:div w:id="593561502">
          <w:marLeft w:val="0"/>
          <w:marRight w:val="0"/>
          <w:marTop w:val="0"/>
          <w:marBottom w:val="0"/>
          <w:divBdr>
            <w:top w:val="none" w:sz="0" w:space="0" w:color="auto"/>
            <w:left w:val="none" w:sz="0" w:space="0" w:color="auto"/>
            <w:bottom w:val="none" w:sz="0" w:space="0" w:color="auto"/>
            <w:right w:val="none" w:sz="0" w:space="0" w:color="auto"/>
          </w:divBdr>
          <w:divsChild>
            <w:div w:id="20246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7044">
      <w:bodyDiv w:val="1"/>
      <w:marLeft w:val="0"/>
      <w:marRight w:val="0"/>
      <w:marTop w:val="0"/>
      <w:marBottom w:val="0"/>
      <w:divBdr>
        <w:top w:val="none" w:sz="0" w:space="0" w:color="auto"/>
        <w:left w:val="none" w:sz="0" w:space="0" w:color="auto"/>
        <w:bottom w:val="none" w:sz="0" w:space="0" w:color="auto"/>
        <w:right w:val="none" w:sz="0" w:space="0" w:color="auto"/>
      </w:divBdr>
      <w:divsChild>
        <w:div w:id="914706539">
          <w:marLeft w:val="0"/>
          <w:marRight w:val="0"/>
          <w:marTop w:val="0"/>
          <w:marBottom w:val="0"/>
          <w:divBdr>
            <w:top w:val="none" w:sz="0" w:space="0" w:color="auto"/>
            <w:left w:val="none" w:sz="0" w:space="0" w:color="auto"/>
            <w:bottom w:val="none" w:sz="0" w:space="0" w:color="auto"/>
            <w:right w:val="none" w:sz="0" w:space="0" w:color="auto"/>
          </w:divBdr>
          <w:divsChild>
            <w:div w:id="5957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183">
      <w:bodyDiv w:val="1"/>
      <w:marLeft w:val="0"/>
      <w:marRight w:val="0"/>
      <w:marTop w:val="0"/>
      <w:marBottom w:val="0"/>
      <w:divBdr>
        <w:top w:val="none" w:sz="0" w:space="0" w:color="auto"/>
        <w:left w:val="none" w:sz="0" w:space="0" w:color="auto"/>
        <w:bottom w:val="none" w:sz="0" w:space="0" w:color="auto"/>
        <w:right w:val="none" w:sz="0" w:space="0" w:color="auto"/>
      </w:divBdr>
      <w:divsChild>
        <w:div w:id="1919826049">
          <w:marLeft w:val="0"/>
          <w:marRight w:val="0"/>
          <w:marTop w:val="0"/>
          <w:marBottom w:val="0"/>
          <w:divBdr>
            <w:top w:val="none" w:sz="0" w:space="0" w:color="auto"/>
            <w:left w:val="none" w:sz="0" w:space="0" w:color="auto"/>
            <w:bottom w:val="none" w:sz="0" w:space="0" w:color="auto"/>
            <w:right w:val="none" w:sz="0" w:space="0" w:color="auto"/>
          </w:divBdr>
          <w:divsChild>
            <w:div w:id="14370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5415">
      <w:bodyDiv w:val="1"/>
      <w:marLeft w:val="0"/>
      <w:marRight w:val="0"/>
      <w:marTop w:val="0"/>
      <w:marBottom w:val="0"/>
      <w:divBdr>
        <w:top w:val="none" w:sz="0" w:space="0" w:color="auto"/>
        <w:left w:val="none" w:sz="0" w:space="0" w:color="auto"/>
        <w:bottom w:val="none" w:sz="0" w:space="0" w:color="auto"/>
        <w:right w:val="none" w:sz="0" w:space="0" w:color="auto"/>
      </w:divBdr>
      <w:divsChild>
        <w:div w:id="1666084063">
          <w:marLeft w:val="0"/>
          <w:marRight w:val="0"/>
          <w:marTop w:val="0"/>
          <w:marBottom w:val="0"/>
          <w:divBdr>
            <w:top w:val="none" w:sz="0" w:space="0" w:color="auto"/>
            <w:left w:val="none" w:sz="0" w:space="0" w:color="auto"/>
            <w:bottom w:val="none" w:sz="0" w:space="0" w:color="auto"/>
            <w:right w:val="none" w:sz="0" w:space="0" w:color="auto"/>
          </w:divBdr>
          <w:divsChild>
            <w:div w:id="1574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3852">
      <w:bodyDiv w:val="1"/>
      <w:marLeft w:val="0"/>
      <w:marRight w:val="0"/>
      <w:marTop w:val="0"/>
      <w:marBottom w:val="0"/>
      <w:divBdr>
        <w:top w:val="none" w:sz="0" w:space="0" w:color="auto"/>
        <w:left w:val="none" w:sz="0" w:space="0" w:color="auto"/>
        <w:bottom w:val="none" w:sz="0" w:space="0" w:color="auto"/>
        <w:right w:val="none" w:sz="0" w:space="0" w:color="auto"/>
      </w:divBdr>
      <w:divsChild>
        <w:div w:id="1282539749">
          <w:marLeft w:val="0"/>
          <w:marRight w:val="0"/>
          <w:marTop w:val="0"/>
          <w:marBottom w:val="0"/>
          <w:divBdr>
            <w:top w:val="none" w:sz="0" w:space="0" w:color="auto"/>
            <w:left w:val="none" w:sz="0" w:space="0" w:color="auto"/>
            <w:bottom w:val="none" w:sz="0" w:space="0" w:color="auto"/>
            <w:right w:val="none" w:sz="0" w:space="0" w:color="auto"/>
          </w:divBdr>
          <w:divsChild>
            <w:div w:id="59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1723">
      <w:bodyDiv w:val="1"/>
      <w:marLeft w:val="0"/>
      <w:marRight w:val="0"/>
      <w:marTop w:val="0"/>
      <w:marBottom w:val="0"/>
      <w:divBdr>
        <w:top w:val="none" w:sz="0" w:space="0" w:color="auto"/>
        <w:left w:val="none" w:sz="0" w:space="0" w:color="auto"/>
        <w:bottom w:val="none" w:sz="0" w:space="0" w:color="auto"/>
        <w:right w:val="none" w:sz="0" w:space="0" w:color="auto"/>
      </w:divBdr>
      <w:divsChild>
        <w:div w:id="773981807">
          <w:marLeft w:val="0"/>
          <w:marRight w:val="0"/>
          <w:marTop w:val="0"/>
          <w:marBottom w:val="0"/>
          <w:divBdr>
            <w:top w:val="none" w:sz="0" w:space="0" w:color="auto"/>
            <w:left w:val="none" w:sz="0" w:space="0" w:color="auto"/>
            <w:bottom w:val="none" w:sz="0" w:space="0" w:color="auto"/>
            <w:right w:val="none" w:sz="0" w:space="0" w:color="auto"/>
          </w:divBdr>
        </w:div>
        <w:div w:id="1217009134">
          <w:marLeft w:val="0"/>
          <w:marRight w:val="0"/>
          <w:marTop w:val="0"/>
          <w:marBottom w:val="0"/>
          <w:divBdr>
            <w:top w:val="none" w:sz="0" w:space="0" w:color="auto"/>
            <w:left w:val="none" w:sz="0" w:space="0" w:color="auto"/>
            <w:bottom w:val="none" w:sz="0" w:space="0" w:color="auto"/>
            <w:right w:val="none" w:sz="0" w:space="0" w:color="auto"/>
          </w:divBdr>
        </w:div>
        <w:div w:id="1646354551">
          <w:marLeft w:val="0"/>
          <w:marRight w:val="0"/>
          <w:marTop w:val="0"/>
          <w:marBottom w:val="0"/>
          <w:divBdr>
            <w:top w:val="none" w:sz="0" w:space="0" w:color="auto"/>
            <w:left w:val="none" w:sz="0" w:space="0" w:color="auto"/>
            <w:bottom w:val="none" w:sz="0" w:space="0" w:color="auto"/>
            <w:right w:val="none" w:sz="0" w:space="0" w:color="auto"/>
          </w:divBdr>
        </w:div>
        <w:div w:id="1247763444">
          <w:marLeft w:val="0"/>
          <w:marRight w:val="0"/>
          <w:marTop w:val="0"/>
          <w:marBottom w:val="0"/>
          <w:divBdr>
            <w:top w:val="none" w:sz="0" w:space="0" w:color="auto"/>
            <w:left w:val="none" w:sz="0" w:space="0" w:color="auto"/>
            <w:bottom w:val="none" w:sz="0" w:space="0" w:color="auto"/>
            <w:right w:val="none" w:sz="0" w:space="0" w:color="auto"/>
          </w:divBdr>
        </w:div>
        <w:div w:id="1304189927">
          <w:marLeft w:val="0"/>
          <w:marRight w:val="0"/>
          <w:marTop w:val="0"/>
          <w:marBottom w:val="0"/>
          <w:divBdr>
            <w:top w:val="none" w:sz="0" w:space="0" w:color="auto"/>
            <w:left w:val="none" w:sz="0" w:space="0" w:color="auto"/>
            <w:bottom w:val="none" w:sz="0" w:space="0" w:color="auto"/>
            <w:right w:val="none" w:sz="0" w:space="0" w:color="auto"/>
          </w:divBdr>
        </w:div>
        <w:div w:id="1140461337">
          <w:marLeft w:val="0"/>
          <w:marRight w:val="0"/>
          <w:marTop w:val="0"/>
          <w:marBottom w:val="0"/>
          <w:divBdr>
            <w:top w:val="none" w:sz="0" w:space="0" w:color="auto"/>
            <w:left w:val="none" w:sz="0" w:space="0" w:color="auto"/>
            <w:bottom w:val="none" w:sz="0" w:space="0" w:color="auto"/>
            <w:right w:val="none" w:sz="0" w:space="0" w:color="auto"/>
          </w:divBdr>
        </w:div>
        <w:div w:id="882331629">
          <w:marLeft w:val="0"/>
          <w:marRight w:val="0"/>
          <w:marTop w:val="0"/>
          <w:marBottom w:val="0"/>
          <w:divBdr>
            <w:top w:val="none" w:sz="0" w:space="0" w:color="auto"/>
            <w:left w:val="none" w:sz="0" w:space="0" w:color="auto"/>
            <w:bottom w:val="none" w:sz="0" w:space="0" w:color="auto"/>
            <w:right w:val="none" w:sz="0" w:space="0" w:color="auto"/>
          </w:divBdr>
        </w:div>
      </w:divsChild>
    </w:div>
    <w:div w:id="1668941927">
      <w:bodyDiv w:val="1"/>
      <w:marLeft w:val="0"/>
      <w:marRight w:val="0"/>
      <w:marTop w:val="0"/>
      <w:marBottom w:val="0"/>
      <w:divBdr>
        <w:top w:val="none" w:sz="0" w:space="0" w:color="auto"/>
        <w:left w:val="none" w:sz="0" w:space="0" w:color="auto"/>
        <w:bottom w:val="none" w:sz="0" w:space="0" w:color="auto"/>
        <w:right w:val="none" w:sz="0" w:space="0" w:color="auto"/>
      </w:divBdr>
      <w:divsChild>
        <w:div w:id="675570647">
          <w:marLeft w:val="0"/>
          <w:marRight w:val="0"/>
          <w:marTop w:val="0"/>
          <w:marBottom w:val="0"/>
          <w:divBdr>
            <w:top w:val="none" w:sz="0" w:space="0" w:color="auto"/>
            <w:left w:val="none" w:sz="0" w:space="0" w:color="auto"/>
            <w:bottom w:val="none" w:sz="0" w:space="0" w:color="auto"/>
            <w:right w:val="none" w:sz="0" w:space="0" w:color="auto"/>
          </w:divBdr>
          <w:divsChild>
            <w:div w:id="1991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0553">
      <w:bodyDiv w:val="1"/>
      <w:marLeft w:val="0"/>
      <w:marRight w:val="0"/>
      <w:marTop w:val="0"/>
      <w:marBottom w:val="0"/>
      <w:divBdr>
        <w:top w:val="none" w:sz="0" w:space="0" w:color="auto"/>
        <w:left w:val="none" w:sz="0" w:space="0" w:color="auto"/>
        <w:bottom w:val="none" w:sz="0" w:space="0" w:color="auto"/>
        <w:right w:val="none" w:sz="0" w:space="0" w:color="auto"/>
      </w:divBdr>
      <w:divsChild>
        <w:div w:id="2035690251">
          <w:marLeft w:val="0"/>
          <w:marRight w:val="0"/>
          <w:marTop w:val="0"/>
          <w:marBottom w:val="0"/>
          <w:divBdr>
            <w:top w:val="none" w:sz="0" w:space="0" w:color="auto"/>
            <w:left w:val="none" w:sz="0" w:space="0" w:color="auto"/>
            <w:bottom w:val="none" w:sz="0" w:space="0" w:color="auto"/>
            <w:right w:val="none" w:sz="0" w:space="0" w:color="auto"/>
          </w:divBdr>
          <w:divsChild>
            <w:div w:id="126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1696">
      <w:bodyDiv w:val="1"/>
      <w:marLeft w:val="0"/>
      <w:marRight w:val="0"/>
      <w:marTop w:val="0"/>
      <w:marBottom w:val="0"/>
      <w:divBdr>
        <w:top w:val="none" w:sz="0" w:space="0" w:color="auto"/>
        <w:left w:val="none" w:sz="0" w:space="0" w:color="auto"/>
        <w:bottom w:val="none" w:sz="0" w:space="0" w:color="auto"/>
        <w:right w:val="none" w:sz="0" w:space="0" w:color="auto"/>
      </w:divBdr>
      <w:divsChild>
        <w:div w:id="1813714871">
          <w:marLeft w:val="0"/>
          <w:marRight w:val="0"/>
          <w:marTop w:val="0"/>
          <w:marBottom w:val="0"/>
          <w:divBdr>
            <w:top w:val="none" w:sz="0" w:space="0" w:color="auto"/>
            <w:left w:val="none" w:sz="0" w:space="0" w:color="auto"/>
            <w:bottom w:val="none" w:sz="0" w:space="0" w:color="auto"/>
            <w:right w:val="none" w:sz="0" w:space="0" w:color="auto"/>
          </w:divBdr>
          <w:divsChild>
            <w:div w:id="7450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5687">
      <w:bodyDiv w:val="1"/>
      <w:marLeft w:val="0"/>
      <w:marRight w:val="0"/>
      <w:marTop w:val="0"/>
      <w:marBottom w:val="0"/>
      <w:divBdr>
        <w:top w:val="none" w:sz="0" w:space="0" w:color="auto"/>
        <w:left w:val="none" w:sz="0" w:space="0" w:color="auto"/>
        <w:bottom w:val="none" w:sz="0" w:space="0" w:color="auto"/>
        <w:right w:val="none" w:sz="0" w:space="0" w:color="auto"/>
      </w:divBdr>
      <w:divsChild>
        <w:div w:id="975254217">
          <w:marLeft w:val="0"/>
          <w:marRight w:val="0"/>
          <w:marTop w:val="0"/>
          <w:marBottom w:val="0"/>
          <w:divBdr>
            <w:top w:val="none" w:sz="0" w:space="0" w:color="auto"/>
            <w:left w:val="none" w:sz="0" w:space="0" w:color="auto"/>
            <w:bottom w:val="none" w:sz="0" w:space="0" w:color="auto"/>
            <w:right w:val="none" w:sz="0" w:space="0" w:color="auto"/>
          </w:divBdr>
          <w:divsChild>
            <w:div w:id="3608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1973">
      <w:bodyDiv w:val="1"/>
      <w:marLeft w:val="0"/>
      <w:marRight w:val="0"/>
      <w:marTop w:val="0"/>
      <w:marBottom w:val="0"/>
      <w:divBdr>
        <w:top w:val="none" w:sz="0" w:space="0" w:color="auto"/>
        <w:left w:val="none" w:sz="0" w:space="0" w:color="auto"/>
        <w:bottom w:val="none" w:sz="0" w:space="0" w:color="auto"/>
        <w:right w:val="none" w:sz="0" w:space="0" w:color="auto"/>
      </w:divBdr>
      <w:divsChild>
        <w:div w:id="271013556">
          <w:marLeft w:val="0"/>
          <w:marRight w:val="0"/>
          <w:marTop w:val="0"/>
          <w:marBottom w:val="0"/>
          <w:divBdr>
            <w:top w:val="none" w:sz="0" w:space="0" w:color="auto"/>
            <w:left w:val="none" w:sz="0" w:space="0" w:color="auto"/>
            <w:bottom w:val="none" w:sz="0" w:space="0" w:color="auto"/>
            <w:right w:val="none" w:sz="0" w:space="0" w:color="auto"/>
          </w:divBdr>
          <w:divsChild>
            <w:div w:id="2187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516">
      <w:bodyDiv w:val="1"/>
      <w:marLeft w:val="0"/>
      <w:marRight w:val="0"/>
      <w:marTop w:val="0"/>
      <w:marBottom w:val="0"/>
      <w:divBdr>
        <w:top w:val="none" w:sz="0" w:space="0" w:color="auto"/>
        <w:left w:val="none" w:sz="0" w:space="0" w:color="auto"/>
        <w:bottom w:val="none" w:sz="0" w:space="0" w:color="auto"/>
        <w:right w:val="none" w:sz="0" w:space="0" w:color="auto"/>
      </w:divBdr>
      <w:divsChild>
        <w:div w:id="463619460">
          <w:marLeft w:val="0"/>
          <w:marRight w:val="0"/>
          <w:marTop w:val="0"/>
          <w:marBottom w:val="0"/>
          <w:divBdr>
            <w:top w:val="none" w:sz="0" w:space="0" w:color="auto"/>
            <w:left w:val="none" w:sz="0" w:space="0" w:color="auto"/>
            <w:bottom w:val="none" w:sz="0" w:space="0" w:color="auto"/>
            <w:right w:val="none" w:sz="0" w:space="0" w:color="auto"/>
          </w:divBdr>
        </w:div>
      </w:divsChild>
    </w:div>
    <w:div w:id="1909537780">
      <w:bodyDiv w:val="1"/>
      <w:marLeft w:val="0"/>
      <w:marRight w:val="0"/>
      <w:marTop w:val="0"/>
      <w:marBottom w:val="0"/>
      <w:divBdr>
        <w:top w:val="none" w:sz="0" w:space="0" w:color="auto"/>
        <w:left w:val="none" w:sz="0" w:space="0" w:color="auto"/>
        <w:bottom w:val="none" w:sz="0" w:space="0" w:color="auto"/>
        <w:right w:val="none" w:sz="0" w:space="0" w:color="auto"/>
      </w:divBdr>
      <w:divsChild>
        <w:div w:id="1426345108">
          <w:marLeft w:val="0"/>
          <w:marRight w:val="0"/>
          <w:marTop w:val="0"/>
          <w:marBottom w:val="0"/>
          <w:divBdr>
            <w:top w:val="none" w:sz="0" w:space="0" w:color="auto"/>
            <w:left w:val="none" w:sz="0" w:space="0" w:color="auto"/>
            <w:bottom w:val="none" w:sz="0" w:space="0" w:color="auto"/>
            <w:right w:val="none" w:sz="0" w:space="0" w:color="auto"/>
          </w:divBdr>
          <w:divsChild>
            <w:div w:id="2788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090">
      <w:bodyDiv w:val="1"/>
      <w:marLeft w:val="0"/>
      <w:marRight w:val="0"/>
      <w:marTop w:val="0"/>
      <w:marBottom w:val="0"/>
      <w:divBdr>
        <w:top w:val="none" w:sz="0" w:space="0" w:color="auto"/>
        <w:left w:val="none" w:sz="0" w:space="0" w:color="auto"/>
        <w:bottom w:val="none" w:sz="0" w:space="0" w:color="auto"/>
        <w:right w:val="none" w:sz="0" w:space="0" w:color="auto"/>
      </w:divBdr>
      <w:divsChild>
        <w:div w:id="548297043">
          <w:marLeft w:val="0"/>
          <w:marRight w:val="0"/>
          <w:marTop w:val="0"/>
          <w:marBottom w:val="0"/>
          <w:divBdr>
            <w:top w:val="none" w:sz="0" w:space="0" w:color="auto"/>
            <w:left w:val="none" w:sz="0" w:space="0" w:color="auto"/>
            <w:bottom w:val="none" w:sz="0" w:space="0" w:color="auto"/>
            <w:right w:val="none" w:sz="0" w:space="0" w:color="auto"/>
          </w:divBdr>
          <w:divsChild>
            <w:div w:id="12617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9232">
      <w:bodyDiv w:val="1"/>
      <w:marLeft w:val="0"/>
      <w:marRight w:val="0"/>
      <w:marTop w:val="0"/>
      <w:marBottom w:val="0"/>
      <w:divBdr>
        <w:top w:val="none" w:sz="0" w:space="0" w:color="auto"/>
        <w:left w:val="none" w:sz="0" w:space="0" w:color="auto"/>
        <w:bottom w:val="none" w:sz="0" w:space="0" w:color="auto"/>
        <w:right w:val="none" w:sz="0" w:space="0" w:color="auto"/>
      </w:divBdr>
      <w:divsChild>
        <w:div w:id="1762292367">
          <w:marLeft w:val="0"/>
          <w:marRight w:val="0"/>
          <w:marTop w:val="0"/>
          <w:marBottom w:val="0"/>
          <w:divBdr>
            <w:top w:val="none" w:sz="0" w:space="0" w:color="auto"/>
            <w:left w:val="none" w:sz="0" w:space="0" w:color="auto"/>
            <w:bottom w:val="none" w:sz="0" w:space="0" w:color="auto"/>
            <w:right w:val="none" w:sz="0" w:space="0" w:color="auto"/>
          </w:divBdr>
          <w:divsChild>
            <w:div w:id="16958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447">
      <w:bodyDiv w:val="1"/>
      <w:marLeft w:val="0"/>
      <w:marRight w:val="0"/>
      <w:marTop w:val="0"/>
      <w:marBottom w:val="0"/>
      <w:divBdr>
        <w:top w:val="none" w:sz="0" w:space="0" w:color="auto"/>
        <w:left w:val="none" w:sz="0" w:space="0" w:color="auto"/>
        <w:bottom w:val="none" w:sz="0" w:space="0" w:color="auto"/>
        <w:right w:val="none" w:sz="0" w:space="0" w:color="auto"/>
      </w:divBdr>
      <w:divsChild>
        <w:div w:id="2125222727">
          <w:marLeft w:val="0"/>
          <w:marRight w:val="0"/>
          <w:marTop w:val="0"/>
          <w:marBottom w:val="0"/>
          <w:divBdr>
            <w:top w:val="none" w:sz="0" w:space="0" w:color="auto"/>
            <w:left w:val="none" w:sz="0" w:space="0" w:color="auto"/>
            <w:bottom w:val="none" w:sz="0" w:space="0" w:color="auto"/>
            <w:right w:val="none" w:sz="0" w:space="0" w:color="auto"/>
          </w:divBdr>
          <w:divsChild>
            <w:div w:id="5437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810">
      <w:bodyDiv w:val="1"/>
      <w:marLeft w:val="0"/>
      <w:marRight w:val="0"/>
      <w:marTop w:val="0"/>
      <w:marBottom w:val="0"/>
      <w:divBdr>
        <w:top w:val="none" w:sz="0" w:space="0" w:color="auto"/>
        <w:left w:val="none" w:sz="0" w:space="0" w:color="auto"/>
        <w:bottom w:val="none" w:sz="0" w:space="0" w:color="auto"/>
        <w:right w:val="none" w:sz="0" w:space="0" w:color="auto"/>
      </w:divBdr>
      <w:divsChild>
        <w:div w:id="115757699">
          <w:marLeft w:val="0"/>
          <w:marRight w:val="0"/>
          <w:marTop w:val="0"/>
          <w:marBottom w:val="0"/>
          <w:divBdr>
            <w:top w:val="none" w:sz="0" w:space="0" w:color="auto"/>
            <w:left w:val="none" w:sz="0" w:space="0" w:color="auto"/>
            <w:bottom w:val="none" w:sz="0" w:space="0" w:color="auto"/>
            <w:right w:val="none" w:sz="0" w:space="0" w:color="auto"/>
          </w:divBdr>
          <w:divsChild>
            <w:div w:id="10164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4050">
      <w:bodyDiv w:val="1"/>
      <w:marLeft w:val="0"/>
      <w:marRight w:val="0"/>
      <w:marTop w:val="0"/>
      <w:marBottom w:val="0"/>
      <w:divBdr>
        <w:top w:val="none" w:sz="0" w:space="0" w:color="auto"/>
        <w:left w:val="none" w:sz="0" w:space="0" w:color="auto"/>
        <w:bottom w:val="none" w:sz="0" w:space="0" w:color="auto"/>
        <w:right w:val="none" w:sz="0" w:space="0" w:color="auto"/>
      </w:divBdr>
      <w:divsChild>
        <w:div w:id="2000965287">
          <w:marLeft w:val="0"/>
          <w:marRight w:val="0"/>
          <w:marTop w:val="0"/>
          <w:marBottom w:val="0"/>
          <w:divBdr>
            <w:top w:val="none" w:sz="0" w:space="0" w:color="auto"/>
            <w:left w:val="none" w:sz="0" w:space="0" w:color="auto"/>
            <w:bottom w:val="none" w:sz="0" w:space="0" w:color="auto"/>
            <w:right w:val="none" w:sz="0" w:space="0" w:color="auto"/>
          </w:divBdr>
          <w:divsChild>
            <w:div w:id="2010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erese.garstenauer@univie.ac.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1DBA-6609-4FCA-8DDE-AAA5264B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4988</Words>
  <Characters>31429</Characters>
  <Application>Microsoft Office Word</Application>
  <DocSecurity>0</DocSecurity>
  <Lines>261</Lines>
  <Paragraphs>72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Pierre Bayard, Enquête sur Hamlet : le dialogue de sourds, Les éditions de Minuit, 2002, collection « Paradoxe », 181 p</vt:lpstr>
      <vt:lpstr>Pierre Bayard, Enquête sur Hamlet : le dialogue de sourds, Les éditions de Minuit, 2002, collection « Paradoxe », 181 p</vt:lpstr>
    </vt:vector>
  </TitlesOfParts>
  <Company/>
  <LinksUpToDate>false</LinksUpToDate>
  <CharactersWithSpaces>36345</CharactersWithSpaces>
  <SharedDoc>false</SharedDoc>
  <HLinks>
    <vt:vector size="12" baseType="variant">
      <vt:variant>
        <vt:i4>1114114</vt:i4>
      </vt:variant>
      <vt:variant>
        <vt:i4>11724</vt:i4>
      </vt:variant>
      <vt:variant>
        <vt:i4>1025</vt:i4>
      </vt:variant>
      <vt:variant>
        <vt:i4>1</vt:i4>
      </vt:variant>
      <vt:variant>
        <vt:lpwstr>displayi</vt:lpwstr>
      </vt:variant>
      <vt:variant>
        <vt:lpwstr/>
      </vt:variant>
      <vt:variant>
        <vt:i4>1114114</vt:i4>
      </vt:variant>
      <vt:variant>
        <vt:i4>11918</vt:i4>
      </vt:variant>
      <vt:variant>
        <vt:i4>1026</vt:i4>
      </vt:variant>
      <vt:variant>
        <vt:i4>1</vt:i4>
      </vt:variant>
      <vt:variant>
        <vt:lpwstr>displayi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Bayard, Enquête sur Hamlet : le dialogue de sourds, Les éditions de Minuit, 2002, collection « Paradoxe », 181 p</dc:title>
  <dc:creator>Corinne Grenouillet</dc:creator>
  <cp:lastModifiedBy>Hewlett-Packard Company</cp:lastModifiedBy>
  <cp:revision>2</cp:revision>
  <cp:lastPrinted>2016-07-23T09:42:00Z</cp:lastPrinted>
  <dcterms:created xsi:type="dcterms:W3CDTF">2019-07-11T07:54:00Z</dcterms:created>
  <dcterms:modified xsi:type="dcterms:W3CDTF">2019-07-11T07:54:00Z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id="SBYC1n9p"/&gt;&lt;style id="http://www.zotero.org/styles/vingtieme-siecle" hasBibliography="1" bibliographyStyleHasBeenSet="0"/&gt;&lt;prefs&gt;&lt;pref name="fieldType" value="Field"/&gt;&lt;pref name="storeReferences"</vt:lpwstr>
  </property>
  <property fmtid="{D5CDD505-2E9C-101B-9397-08002B2CF9AE}" pid="3" name="ZOTERO_PREF_2">
    <vt:lpwstr> value="true"/&gt;&lt;pref name="automaticJournalAbbreviations" value="false"/&gt;&lt;pref name="noteType" value="1"/&gt;&lt;/prefs&gt;&lt;/data&gt;</vt:lpwstr>
  </property>
</Properties>
</file>